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4239EA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bookmarkStart w:id="0" w:name="_dx_frag_StartFragment"/>
      <w:bookmarkEnd w:id="0"/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Республика Тыва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Пий-Хемский кожуун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single"/>
          <w:shd w:val="clear" w:fill="FFFFFF"/>
        </w:rPr>
        <w:t>_____Администрация сельского поселения сумона Тарлагский______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ул. Почтовая, 28 с. Тарлаг Пий-Хемского кожууна Республики Тыва 668512 тел: 8 394 352 1806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ПОСТАНОВЛЕНИЕ № 17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с. Тарлаг                                                                                       от 12.04.2016года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Муниципальная программа «Защита населения и территории от чрезвычайных ситуаций природного и техногенного характера и обеспечение пожарной безопасности на территории сельского поселения сумона Тарлагский на 2016-2018 годы».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 соответствии с Федеральными законами от 06.10.2003 г. №131-Ф3 «Об общих  принципах организации местного самоуправления в Российской Федерации», во исполнение Федерального закона «О пожарной безопасности» № 69-ФЗ от 21.12.1994 г., руководствуясь Уставом Муниципального Образования «сельское поселение сумона Тарлагский» ПОСТАНОВЛЯЕТ: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1. Утвердить прилагаемую муниципальную программу «Защита населения и территории от чрезвычайных ситуаций природного и техногенного характера и обеспечение пожарной безопасности на территории сельского поселения сумона Тарлагский на 2016-2018 годы»;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2. Контроль над исполнением данного постановления оставляю за собой.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3.Опубликовать настоящее постановление на официальном сайте администрации Пий-Хемского района в сети Интернет (www.piу-khem.tuva@mail.ru).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И.о. председателя администрации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сумона Тарлагский                                                                             /Донгак А.С./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right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Приложение № 1</w:t>
      </w:r>
    </w:p>
    <w:p>
      <w:pPr>
        <w:spacing w:before="0" w:after="0"/>
        <w:ind w:firstLine="0" w:left="0" w:right="0"/>
        <w:jc w:val="right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к постановлению и.о. председателя администрации</w:t>
      </w:r>
    </w:p>
    <w:p>
      <w:pPr>
        <w:spacing w:before="0" w:after="0"/>
        <w:ind w:firstLine="0" w:left="0" w:right="0"/>
        <w:jc w:val="right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сельского поселения сумона Тарлагский</w:t>
      </w:r>
    </w:p>
    <w:p>
      <w:pPr>
        <w:spacing w:before="0" w:after="0"/>
        <w:ind w:firstLine="0" w:left="0" w:right="0"/>
        <w:jc w:val="right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от 12.04.2016 г.  № 17</w:t>
      </w:r>
    </w:p>
    <w:p>
      <w:pPr>
        <w:spacing w:before="0" w:after="0"/>
        <w:ind w:firstLine="0" w:left="0" w:right="0"/>
        <w:jc w:val="right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Муниципальная долгосрочная целевая программа «защита населения и территории от чрезвычайных ситуаций природного и техногенного характера и обеспечение пожарной безопасности на 2016 – 2018 годы»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Паспорт программы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tbl>
      <w:tblPr>
        <w:tblW w:w="0" w:type="auto"/>
        <w:tblCellSpacing w:w="0" w:type="dxa"/>
        <w:tblInd w:w="0" w:type="dxa"/>
        <w:tblBorders>
          <w:top w:val="single" w:sz="6" w:space="0" w:shadow="0" w:frame="0" w:color="000000"/>
          <w:left w:val="single" w:sz="6" w:space="0" w:shadow="0" w:frame="0" w:color="000000"/>
          <w:bottom w:val="single" w:sz="6" w:space="0" w:shadow="0" w:frame="0" w:color="000000"/>
          <w:right w:val="single" w:sz="6" w:space="0" w:shadow="0" w:frame="0" w:color="000000"/>
          <w:insideH w:val="single" w:sz="6" w:space="0" w:shadow="0" w:frame="0" w:color="000000"/>
          <w:insideV w:val="single" w:sz="6" w:space="0" w:shadow="0" w:frame="0" w:color="000000"/>
        </w:tblBorders>
        <w:shd w:val="clear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/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Наименование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Муниципальная долгосрочная целевая программа «защита населения и территории от чрезвычайных ситуаций природного и техногенного характера и обеспечение пожарной безопасности на 2016 – 2018 годы» (далее – программа)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Цели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Создание и совершенствование современной правовой базы, с учетом изменений действующего законодательства.</w:t>
            </w:r>
          </w:p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Эффективность работы в решении задач по предупреждению и ликвидации чрезвычайных ситуаций природного и техногенного характера, надежности защиты населения и территории муниципального образования от ЧС.</w:t>
            </w:r>
          </w:p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Совершенствование организации предупреждения ЧС, снижение числа погибших (пострадавших) от поражающих факторов возможных ЧС.</w:t>
            </w:r>
          </w:p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Обеспечение проведения комплекса мероприятий по обеспечению первичных мер пожарной безопасности на территории муниципального образования.</w:t>
            </w:r>
          </w:p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Повышение готовности сил и средств муниципального образования к проведению аварийно – спасательных и других неотложных работ в случае возникновения ЧС природного и техногенного характера.</w:t>
            </w:r>
          </w:p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Осуществление и совершенствование системы мероприятий по обеспечению безопасности людей на водных объектах муниципального образования, охране их жизни и здоровья.</w:t>
            </w:r>
          </w:p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Повышение ответственности должностных лиц предприятий, организаций и учреждений за выполнение мероприятий по защите населения и территорий муниципального образования от ЧС природного и техногенного характера.</w:t>
            </w:r>
          </w:p>
          <w:p>
            <w:pPr>
              <w:numPr>
                <w:ilvl w:val="0"/>
                <w:numId w:val="1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Пропаганда знаний в области защиты населения и территорий от ЧС на территории муниципального образования.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Задачи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Обеспечение первичных мер пожарной безопасности в границах поселения.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Осуществление подготовки и содержания в готовности необходимых сил и средств для защиты населения и территорий от ЧС;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Организация деятельности аварийно – спасательных формирований на территории муниципального образования;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оснащение групп по оперативному реагированию на ликвидацию последствий паводка  в затапливаемых районах муниципального образования, предупреждение и ликвидация аварий на опасных производственных объектах;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развитие инфраструктуры добровольной пожарной охраны;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повышение объема знаний и навыков в области пожарной безопасности и защиты от ЧС населения, руководителей, должностных лиц и специалистов;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информирование населения о правилах поведения и действиях в ЧС.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Сроки реализации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2016 – 2018 годы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Целевые индикаторы и показатели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Эффективность реализации программы оценивается с использованием следующих показателей: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снижение ущерба от ЧС, пожаров в том числе: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снижение количества гибели людей;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снижение количества пострадавшего населения;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увеличение предотвращенного экономического ущерба;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повышение эффективности информационного обеспечения системы мониторинга и прогнозирования ЧС, также населения в местах массового пребывания, включая: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повышение полноты охвата системами мониторинга;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снижение времени оперативного реагирования;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повышение достоверности прогноза;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уменьшение соотношения уровня затрат на проведение мероприятий по снижению рисков чрезвычайных ситуаций, пожаров и предотвращенного ущерба.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Перечень мероприятий в программе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numPr>
                <w:ilvl w:val="0"/>
                <w:numId w:val="2"/>
              </w:numPr>
              <w:spacing w:before="0" w:after="0"/>
              <w:ind w:hanging="360" w:left="720" w:right="0"/>
              <w:rPr>
                <w:rFonts w:ascii="Tahoma" w:hAnsi="Tahoma"/>
                <w:shd w:val="nil" w:fill="auto"/>
              </w:rPr>
            </w:pPr>
            <w:r>
              <w:rPr>
                <w:rFonts w:ascii="Tahoma" w:hAnsi="Tahoma"/>
                <w:shd w:val="nil" w:fill="auto"/>
              </w:rPr>
              <w:t>Реализация практических мер по снижению вероятности возникновения ЧС.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Нацелено на выполнение мероприятий по расширению функциональных возможностей системы прогнозирования вероятности возникновения ЧС и их последствий, создание страхового фонда документации потенциально опасных объектов на территории муниципального образования.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Решение указанных задач позволит снизить вероятность возникновения ЧС, а также позволит ускорить процесс их ликвидации с наиболее рациональным применением сил и средств.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В рамках мероприятий предполагается обеспечить: ремонт пожарных водоемов, создание страхового фонда документации потенциально опасных объектов находящихся на территории муниципального образования.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2. Ресурсное обеспечение мероприятий по ликвидации ЧС и пожаров.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В рамках мероприятия предполагается обеспечить: приобретение новых, более современных средств спасения и средств пожаротушения, а также спасательной и пожарной технике.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3. Развитие и совершенствование системы подготовки руководящего состава, специалистов к действиям в ЧС.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В рамках мероприятия предполагается обеспечить обучения должностных лиц, специалистов в учебном консультационном центре гражданской обороны.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Объемы финансирование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Объемы финансирования мероприятий программы осуществляется за счет средств бюджета муниципального образования «сельского поселения сумона Тарлагский» в размере 30000 рублей;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               На 2016 год –10000 рублей;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На 2017 год – 10000 рублей;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На 2018 год – 10000 рублей.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Объемы финансирования программы носят прогнозный характер и могут быть откорректированы, с учетом возможностей бюджета муниципального образования «сельского поселения сумона Тарлагский».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Исполнители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Администрация сельского поселения сумона Тарлагский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Ожидаемые конечные результаты реализации программы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В целом реализация программы позволит: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осуществить выполнение мероприятий по гражданской обороне, защите населения  территории муниципального образования от ЧС природного и техногенного характера, по обеспечению безопасности людей на водных объектов, охране их жизни и здоровья;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обеспечить выполнение первичных мер пожарной безопасности в границах муниципального образования;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расширить охват населения при реализации программ подготовки в области гражданской обороны, защиты населения и обеспечения пожарной безопасности;</w:t>
            </w:r>
          </w:p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- уменьшить количество человеческих и материальных потерь от пожаров, укрепить материально – техническую базу.</w:t>
            </w:r>
          </w:p>
        </w:tc>
      </w:tr>
      <w:tr>
        <w:tc>
          <w:tcPr>
            <w:tcW w:w="370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Ответственный за выполнением мероприятий</w:t>
            </w:r>
          </w:p>
        </w:tc>
        <w:tc>
          <w:tcPr>
            <w:tcW w:w="58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Администрация сельского поселения сумона Тарлагский</w:t>
            </w:r>
          </w:p>
        </w:tc>
      </w:tr>
    </w:tbl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Раздел 1. </w:t>
      </w: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Обоснование необходимости разработки программы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 настоящее время чрезвычайные ситуации остаются одними из важнейших вызовов стабильному экономическому росту государства. Размер материального ущерба от чрезвычайных ситуаций природного и техногенного характера ежегодно превышает сотни миллионов рублей.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По-прежнему достаточно серьёзную угрозу для населения и объектов экономики предоставляют высокие паводки при половодьях. Наиболее значимый ущерб возникает вследствие затопления и повреждение коммуникаций (автодорог, линий электропередачи и связи), строений и гидротехнических сооружений.  Результаты оценки суммарного ущерба и риска (социального и экономического) от паводка показывают, что эти величины с каждым годом имеют устойчивую тенденцию роста. Прежде всего, это связано с тем, что из-за загрязнение и обмеление русел рек возрастает уязвимость строений и, соответственно, опасность для жизни людей, проживающих паводкоопасныхрайонах.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Стихийным бедствиям природно-климатического характера подвержена практически вся  территориясельского поселения сумона Тарлагский. Основными источниками стихийных бедствий на территории сельского поселения сумона Тарлагский являются паводки и природные пожары.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Весенне-летний паводковый период представляет серьёзную угрозу длянаселение и экономики сельского поселения. Резкое повышение уровня воды в реках в весенне-летний период может быть источником чрезвычайных ситуаций  межмуниципального и регионального характера   и требует ежегодного проведение мероприятий, направленных на предупреждение чрезвычайных ситуаций, вызванных паводкам.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Существо проблем состоит в том,чтобы, обеспечив снижение количество чрезвычайных ситуаций, и повышение уровня безопасности населения и защищенности критически важных объектов от угрозы  природного и техногенного характера, создать в муниципальном образовании необходимые условия для устойчивого развития поселка путем координации совместных усилий и финансовых средств.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Эффективное решение задач по предупреждению и ликвидации чрезвычайных ситуаций, а также первоочередному жизнеобеспечению пострадавшего населения невозможно без оперативного привлечения заблаговременно созданных резервов  материально-технических ресурсов.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Законодательство в области защиты населении и территорий от чрезвычайных ситуаций природного и техногенного характера предполагает создание данных резервов в натуральном  виде, в объемах, необходимых для ликвидации возможных чрезвычайных ситуаций.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Для предотвращения чрезвычайных ситуаций и ликвидации их негативных последствий существенное значение имеет система мер и их технологическое обеспечение, которые могут быть общими для разных по своей природе явлений и факторов (природных и техногенных).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Безусловно, эффективное противодействие возникновению чрезвычайных ситуаций не может быть обеспечено только в рамках текущей деятельности только органов исполнительной власти. Современное состояние многих территориальных звеньев РСЧС не в полной мере обеспечивает комплексное решение проблемы защиты населения и территорий от чрезвычайных ситуаций. Проблема может быть решена только на основе существующих механизмов регулирования и практического обеспечения мер защиты населения и территорий от чрезвычайных ситуаций. Нужен принципиально иной подход к ее решению.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Все вышеперечисленное свидетельствует о том, насколько важно иметь полную правовую базу в области регулирования вопросов защиты населения и территорий от чрезвычайных ситуаций природного и техногенного характера.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Разработка Программы обусловлена потребностью развития систем контроля в области защиты населения и территорий от чрезвычайных ситуаций, управления силами и средствами районного звена территориальной подсистемы РСЧС в повседневной жизни, в периоды возникновения и развития чрезвычайных ситуаций.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Решение этих сложных задач с учетом реально сложившейся экономической обстановки на территории муниципального образования, природно – климатических особенностей, высокой концентрации источников повышенной опасности  техногенного характера, социально – экономического положения населения возможно только целевыми программными методами, сосредоточив основные усилия на решении главной задачи – заблаговременного осуществления комплекса мер, направленных на предупреждение и максимально возможное уменьшение рисков возникновения ЧС,  а также на сохранение здоровья людей, снижение материальных потерь и размеров ущерба окружающей среде.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Основные понятия используемые, в Программе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Предупреждение ЧС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комплекс мероприятий, проводимых заблаговременно и направленных на максимально возможное уменьшение риска возникновения ЧС, а также на сохранение здоровья людей, снижение размеров ущерба окружающей природной среде и материальных потерь в случае их возникновения;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Защита населения в чрезвычайных ситуациях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совокупность взаимосвязанных по времени, ресурсам и месту проведения мероприятий РСЧС, направленных на предотвращение или предельное снижение потерь населения и угрозы его жизни и здоровью от поражающих факторов и воздействий источников чрезвычайной ситуации;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Зона чрезвычайной ситуации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это территория, на которой сложилась чрезвычайная ситуация;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Комиссия по чрезвычайным ситуациям и обеспечению пожарной безопасности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функциональная структура органа исполнительной власти субъекта РФ и органа местного самоуправления, а также органа управления объектов экономики, осуществляющая в пределах своей компетенции руководство соответствующей подсистемой или звеном РСЧС либо проведением всех видов работ по предотвращению возникновения чрезвычайных ситуаций и их ликвидации;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Безопасность населения в чрезвычайных ситуациях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состояние защищенности жизни и здоровья людей, их имущества и среды обитания человека от опасностей в чрезвычайных ситуациях;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Силы и средства РСЧС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силы и средства территориальных, функциональных и ведомственных или отраслевых подсистем и звеньев РСЧС, предназначенные или привлекаемые для выполнения задач по предупреждению и ликвидации чрезвычайных ситуаций;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Чрезвычайная ситуация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это обстановка на определенной территории, сложившаяся в результате аварии, опасного природного явления, катастрофы, стихийного или иного бедствия, которые могут повлечь или повлекли за собой человеческие жертвы, ущерб здоровью людей или окружающей природной среде, значительные материальные потери и нарушение условий жизнедеятельности людей;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Ликвидация чрезвычайной ситуации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аварийно – спасательные и другие неотложные работы, проводимые при возникновении чрезвычайных ситуаций и направленные на спасение жизни и сохранение здоровья людей, снижение размеров ущерба окружающей природной среде и материальных потерь, а также на локализацию зон чрезвычайных ситуаций, прекращение действия характерных для них опасных факторов;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Аварийно – спасательная служба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совокупность органов управления, сил и средств, предназначенных для решения задач по предупреждению и ликвидации чрезвычайных ситуаций, функционально объединенных в единую систему, основу которой составляет аварийно – спасательные формирования;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Аварийно – спасательные формирования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самостоятельная или входящая в состав аварийно – спасательной службы структура, предназначенная для проведения аварийно – спасательных работ, основу которой составляют подразделения спасателей, оснащенные специальными техникой, оборудованием, снаряжением, инструментами и материалами;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1"/>
          <w:strike w:val="0"/>
          <w:color w:val="000000"/>
          <w:sz w:val="18"/>
          <w:u w:val="none"/>
          <w:shd w:val="clear" w:fill="FFFFFF"/>
        </w:rPr>
        <w:t>Аварийно – спасательные работы в чрезвычайной ситуации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– действия по спасению людей, материальных и культурных ценностей, защите природной среды в зоне чрезвычайных ситуаций, локализации чрезвычайных ситуаций и подавлению или доведению до минимально возможного уровня воздействия характерных для них опасных факторов. Аварийно – спасательные работы характеризуются наличием факторов, угрожающих жизни и здоровью проводящих эти работы людей, и требуют специальной подготовки, экипировки и оснащения;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Раздел 2. </w:t>
      </w: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Основные цели и задачи программы.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Основными целями программы являются последовательное снижение рисков чрезвычайных ситуаций, защита населения и территории муниципального образования от угроз природного и техногенного характера, а также обеспечение необходимых условий для безопасной жизнедеятельности и устойчивого социально – экономического развития сельского поселения.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Исходя из анализа обстановки в муниципальном образовании в области защиты населения и территорий от чрезвычайных ситуаций основными целями и задачами Программы до 2018 года определены: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Создание и совершенствование современной правовой базы, с учетом изменений действующего законодательства.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Эффективность работы в решении задач по предупреждению и ликвидации чрезвычайных ситуаций природного и техногенного характера, надежности защиты населения и территории муниципального образования от ЧС.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Совершенствование организации предупреждения ЧС, снижение числа погибших (пострадавших) от поражающих факторов возможных ЧС.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Обеспечение проведения комплекса мероприятий по обеспечению первичных мер пожарной безопасности на территории муниципального образования.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Повышение готовности сил и средств муниципального образования к проведению аварийно – спасательных и других неотложных работ в случае возникновения ЧС природного и техногенного характера.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Осуществление и совершенствование системы мероприятий по обеспечению безопасности людей на водных объектах муниципального образования, охране их жизни и здоровья.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Повышение ответственности должностных лиц предприятий, организаций и учреждений за выполнение мероприятий по защите населения и территорий муниципального образования от ЧС природного и техногенного характера.</w:t>
      </w:r>
    </w:p>
    <w:p>
      <w:pPr>
        <w:numPr>
          <w:ilvl w:val="0"/>
          <w:numId w:val="3"/>
        </w:numPr>
        <w:spacing w:before="0" w:after="0"/>
        <w:ind w:hanging="360" w:left="720" w:right="0"/>
        <w:rPr>
          <w:rFonts w:ascii="Tahoma" w:hAnsi="Tahoma"/>
          <w:b w:val="0"/>
          <w:i w:val="0"/>
          <w:color w:val="000000"/>
          <w:sz w:val="18"/>
          <w:shd w:val="clear" w:fill="FFFFFF"/>
        </w:rPr>
      </w:pPr>
      <w:r>
        <w:rPr>
          <w:rFonts w:ascii="Tahoma" w:hAnsi="Tahoma"/>
          <w:b w:val="0"/>
          <w:i w:val="0"/>
          <w:color w:val="000000"/>
          <w:sz w:val="18"/>
          <w:shd w:val="clear" w:fill="FFFFFF"/>
        </w:rPr>
        <w:t>Пропаганда знаний в области защиты населения и территорий от ЧС на территории муниципального образования.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Программа предусматривает решение следующих задач: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обеспечение первичных мер пожарной безопасности в границах поселения;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осуществление подготовки и содержания в готовности необходимых сил  и средств для защиты населения и территорий от чрезвычайных ситуаций;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организация деятельности аварийно – спасательных формирований на территории муниципального образования;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оснащение групп по оперативному реагированию на ликвидацию последствий паводка в затапливаемых районах муниципального образовании, предупреждении и ликвидации аварий на опасных производственных объектах;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развитие инфраструктуры добровольной пожарной охраны;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повышение объема знаний и навыков в области пожарной безопасности и защиты от ЧС населения, руководителей, должностных лиц и специалистов;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информирование населения о правилах поведения и действиях в чрезвычайных ситуациях.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Решение этих задач позволит осуществлять на территории муниципального образования постоянный мониторинг, прогнозировать вероятность возникновения ЧС и, в связи с этим, своевременно разрабатывать и реализовывать систему мер по предупреждению и ликвидации ЧС, управлять рисками, что является основой.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Раздел 3. </w:t>
      </w: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Перечень программных мероприятий.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Основными программными мероприятиями, направленными на достижение поставленных данной Программой целей является: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Направление 1. Реализация практических мер по снижению вероятности возникновения чрезвычайной ситуации.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Нацелено на выполнение  мероприятий по расширению функциональных возможностей системы прогнозирования вероятности возникновения чрезвычайной ситуаций и их последствий, создание страхового фонда документации потенциально опасных объектов на территории муниципального образования.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Решение указанных задач позволит снизить вероятность возникновения чрезвычайных ситуаций, а также позволит ускорить процесс их ликвидации с наиболее рациональным применением сил и средств.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 рамках мероприятий предполагается обеспечить: ремонт пожарных водоемов, создание страхового фонда документации потенциально опасных объектов находящихся на территории муниципального образования.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Направление 2. Ресурсное обеспечение мероприятий по ликвидации чрезвычайных ситуаций и пожаров.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Мероприятия, предусмотренные во втором разделе, направлены на повышение эффективности действий аварийно – спасательных и пожарных формирований, а также снижения человеческих и материальных потерь пожаров, сохранение стабильной динамики количества спасенных в числе пострадавших от чрезвычайных ситуаций. Достижение указанных целей станет возможным за счет приобретения современной спасательной и пожарной техники, специального оборудования и снаряжения, строительство пожарной охраны и аварийно – спасательных служб.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 рамках мероприятия предполагается обеспечить: приобретение новых, более современных средств спасения и средств пожаротушения, а также спасательной и пожарной технике.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Направление 3. Развитие и совершенствование системы подготовки руководящего состава, специалистов к действиям в чрезвычайных ситуациях.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Третье направление мероприятий Программы позволит совершенствовать уровень подготовки руководящего состава, специалистов и повысить число квалифицированных спасателей через внедрение новых форм обучения с применением современных технологий, позволяющих значительно расширить аудиторию и сократить расходы на обучение.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 рамках мероприятия предполагается обеспечить обучения должностных лиц, специалистов в учебном консультационном центре гражданской обороны.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Раздел 4. </w:t>
      </w: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Реализация программы и контроль за ходом выполнения.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Программа рассчитана на 3 года, и ее планируется выполнять в два взаимосвязанных этапа.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На первом этапе (2016 год) планируется завершить формирование внештатных аварийно – спасательных формирований муниципального образования, добровольных пожарных дружин, обучение сотрудников способам и методам прогнозирования ЧС, создание системы информационного обеспечения населения о чрезвычайных ситуациях и способам защиты от них, организация защиты населения и территории района от ЧС, связанных с пожарами природного и техногенного характера.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На втором этапе (2017 – 2018 годы) предполагается завершить оснащение аварийно – спасательных формирований, добровольных пожарных дружин, создание необходимого количества финансовых ресурсов и материальных резервов для ликвидации ЧС природного и техногенного характера.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К участию в реализации Программы привлекаются организации, учреждения и предприятия находящиеся на территории муниципального образования.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Раздел 5. </w:t>
      </w: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Ресурсное обеспечение программы.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Ресурсное обеспечение Программы составляют средства бюджета поселения в размере 30000 рублей, в том числе: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2016 год – 10000 рублей;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2017 год – 10000 рублей;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2018 год – 10000 рублей.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При сокращении или увеличении ассигнований на реализацию Программы координатор Программы вносит предложения по корректировке перечня мероприятий.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Объемы финансирования Программы носят прогнозный характер и подлежат уточнению в установленном порядке.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Раздел 6. </w:t>
      </w: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Оценка эффективности программы.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Ожидаемый социально – экономический эффект – снижение рисков и смягчение последствий чрезвычайных ситуаций природного и техногенного характера, уменьшение потерь населения и экономического ущерба за счет повышения готовности и технической оснащенности аварийно – спасательных формирований.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Реализация основных программных мероприятий позволит добиться: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повышения эффективности тушения пожаров, проведения аварийно – спасательных работ, снижение гибели, сохранения здоровья людей, спасения материальных средств;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обеспечение сил аварийно – спасательных формирований специальным оснащением, экипировкой, аварийно – спасательным инструментом, приборами и специальными средствами;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усовершенствования информационного обеспечения управления рисками возникновения чрезвычайных ситуаций, прогнозирования и мониторинга чрезвычайных ситуаций;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совершенствования системы подготовки специалистов по управлению рисками возникновения чрезвычайных ситуаций, а также подготовки населения к действиям в чрезвычайных ситуациях;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повышение безопасности жизнедеятельности населения за счет формирования у него правил поведения при возникновении чрезвычайных ситуаций;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обеспечить необходимый уровень безопасности населения муниципального образования;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- выполнить требования действующего законодательства в области защиты населения и территорий от чрезвычайных ситуаций, обеспечения первичных мер пожарной безопасности и безопасности людей на водных объектах.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В целом в результате реализации Программы будут существовать снижены риски чрезвычайных ситуаций и пожаров, повысятся безопасность населения и защищенность объектов и населения поселения от угроз природного и техногенного характера, а также от опасностей, обусловленных террористическими акциями.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Основные риски реализации муниципальной программы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К основным рискам реализации подпрограммы относятся финансово-экономические риски.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Финансово-экономические риски связаны с возможным недофинансированием мероприятий подпрограммы со стороны бюджета сельского поселения сумона Тарлагский. Причинами непредвиденных рисков могут стать кризисные явления в экономике, природные и техногенные катастрофы и катаклизмы, которые могут привести к ухудшению динамики основных макроэкономических показателей, снижению доходов, поступающих в бюджет сельского поселения сумона Тарлагский, и к необходимости концентрации средств бюджета на преодоление последствий данных процессов. Общая характеристика мер государственного и правового регулирования программы.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Общая характеристика мер государственного и правового регулирования программы</w:t>
      </w: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Постановление Правительства Республики Тыва от 13 января 2014 года № 1 «О порядке действий по реализации основных положений Послания  Главы Республики Тыва Ш.В. Кара-оола Верховному Хуралу (парламенту) Республики Тыва о положении в республики и государственной политике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Раздел 7. </w:t>
      </w: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Организация управления Программой и контроль за ходом ее реализации.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7.1. Контроль за реализацией настоящей Программы осуществляет ответственный за реализацию Программы – Администрация сельского поселения сумона Тарлагский», в соответствии с задачами и функциями, возложенными на нее и комиссия по чрезвычайным ситуациям и обеспечения пожарной безопасности.</w:t>
      </w:r>
    </w:p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1"/>
          <w:i w:val="0"/>
          <w:strike w:val="0"/>
          <w:color w:val="000000"/>
          <w:sz w:val="18"/>
          <w:u w:val="none"/>
          <w:shd w:val="clear" w:fill="FFFFFF"/>
        </w:rPr>
        <w:t>Мероприятия муниципальной долгосрочной целевой программы «защита населения и территории от чрезвычайных ситуаций природного и техногенного характера и обеспечение пожарной безопасности на 2016 – 2018 годы»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tbl>
      <w:tblPr>
        <w:tblW w:w="0" w:type="auto"/>
        <w:tblCellSpacing w:w="0" w:type="dxa"/>
        <w:tblInd w:w="0" w:type="dxa"/>
        <w:tblBorders>
          <w:top w:val="single" w:sz="6" w:space="0" w:shadow="0" w:frame="0" w:color="000000"/>
          <w:left w:val="single" w:sz="6" w:space="0" w:shadow="0" w:frame="0" w:color="000000"/>
          <w:bottom w:val="single" w:sz="6" w:space="0" w:shadow="0" w:frame="0" w:color="000000"/>
          <w:right w:val="single" w:sz="6" w:space="0" w:shadow="0" w:frame="0" w:color="000000"/>
          <w:insideH w:val="single" w:sz="6" w:space="0" w:shadow="0" w:frame="0" w:color="000000"/>
          <w:insideV w:val="single" w:sz="6" w:space="0" w:shadow="0" w:frame="0" w:color="000000"/>
        </w:tblBorders>
        <w:shd w:val="clear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/>
      <w:tr>
        <w:tc>
          <w:tcPr>
            <w:tcW w:w="465" w:type="dxa"/>
            <w:vMerge w:val="restart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№</w:t>
            </w:r>
          </w:p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п/п</w:t>
            </w:r>
          </w:p>
        </w:tc>
        <w:tc>
          <w:tcPr>
            <w:tcW w:w="3420" w:type="dxa"/>
            <w:vMerge w:val="restart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Наименование мероприятий</w:t>
            </w:r>
          </w:p>
        </w:tc>
        <w:tc>
          <w:tcPr>
            <w:tcW w:w="1980" w:type="dxa"/>
            <w:vMerge w:val="restart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Общий объем финансирования</w:t>
            </w:r>
          </w:p>
        </w:tc>
        <w:tc>
          <w:tcPr>
            <w:tcW w:w="3705" w:type="dxa"/>
            <w:gridSpan w:val="3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В том числе по годам</w:t>
            </w:r>
          </w:p>
        </w:tc>
      </w:tr>
      <w:tr>
        <w:tc>
          <w:tcPr>
            <w:tcW w:w="465" w:type="dxa"/>
            <w:vMerge w:val="continue"/>
            <w:shd w:val="clear" w:color="auto" w:fill="FFFFFF"/>
            <w:vAlign w:val="top"/>
          </w:tcPr>
          <w:p>
            <w:pPr>
              <w:ind w:left="0" w:right="0"/>
            </w:pPr>
          </w:p>
        </w:tc>
        <w:tc>
          <w:tcPr>
            <w:tcW w:w="3420" w:type="dxa"/>
            <w:vMerge w:val="continue"/>
            <w:shd w:val="clear" w:color="auto" w:fill="FFFFFF"/>
            <w:vAlign w:val="top"/>
          </w:tcPr>
          <w:p>
            <w:pPr>
              <w:ind w:left="0" w:right="0"/>
            </w:pPr>
          </w:p>
        </w:tc>
        <w:tc>
          <w:tcPr>
            <w:tcW w:w="1980" w:type="dxa"/>
            <w:vMerge w:val="continue"/>
            <w:shd w:val="clear" w:color="auto" w:fill="FFFFFF"/>
            <w:vAlign w:val="top"/>
          </w:tcPr>
          <w:p>
            <w:pPr>
              <w:ind w:left="0" w:right="0"/>
              <w:rPr>
                <w:rFonts w:ascii="Tahoma" w:hAnsi="Tahoma"/>
                <w:shd w:val="nil" w:fill="auto"/>
              </w:rPr>
            </w:pPr>
          </w:p>
        </w:tc>
        <w:tc>
          <w:tcPr>
            <w:tcW w:w="126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2016 год</w:t>
            </w:r>
          </w:p>
        </w:tc>
        <w:tc>
          <w:tcPr>
            <w:tcW w:w="126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2017 год</w:t>
            </w:r>
          </w:p>
        </w:tc>
        <w:tc>
          <w:tcPr>
            <w:tcW w:w="118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2018 год</w:t>
            </w:r>
          </w:p>
        </w:tc>
      </w:tr>
      <w:tr>
        <w:tc>
          <w:tcPr>
            <w:tcW w:w="9570" w:type="dxa"/>
            <w:gridSpan w:val="6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Защита населения и территории от ЧС природного и техногенного характера</w:t>
            </w:r>
          </w:p>
        </w:tc>
      </w:tr>
      <w:tr>
        <w:tc>
          <w:tcPr>
            <w:tcW w:w="4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1.</w:t>
            </w:r>
          </w:p>
        </w:tc>
        <w:tc>
          <w:tcPr>
            <w:tcW w:w="342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Приобретение средств защиты</w:t>
            </w:r>
          </w:p>
        </w:tc>
        <w:tc>
          <w:tcPr>
            <w:tcW w:w="198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100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0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  <w:tc>
          <w:tcPr>
            <w:tcW w:w="1185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</w:tr>
      <w:tr>
        <w:tc>
          <w:tcPr>
            <w:tcW w:w="4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2.</w:t>
            </w:r>
          </w:p>
        </w:tc>
        <w:tc>
          <w:tcPr>
            <w:tcW w:w="342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Приобретение и перезарядка огнетушителей, закупка пожарно-технического вооружения</w:t>
            </w:r>
          </w:p>
        </w:tc>
        <w:tc>
          <w:tcPr>
            <w:tcW w:w="198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100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0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  <w:tc>
          <w:tcPr>
            <w:tcW w:w="1185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</w:tr>
      <w:tr>
        <w:tc>
          <w:tcPr>
            <w:tcW w:w="4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3.</w:t>
            </w:r>
          </w:p>
        </w:tc>
        <w:tc>
          <w:tcPr>
            <w:tcW w:w="342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Организация работы по созданию, оснащению и организации деятельности добровольной пожарной охраны, аврийно – спасательных формирований</w:t>
            </w:r>
          </w:p>
        </w:tc>
        <w:tc>
          <w:tcPr>
            <w:tcW w:w="198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414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314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  <w:tc>
          <w:tcPr>
            <w:tcW w:w="1185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</w:tr>
      <w:tr>
        <w:tc>
          <w:tcPr>
            <w:tcW w:w="46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4.</w:t>
            </w:r>
          </w:p>
        </w:tc>
        <w:tc>
          <w:tcPr>
            <w:tcW w:w="342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Обеспечение готовности источников противопожарного водоснабжения для забора воды</w:t>
            </w:r>
          </w:p>
        </w:tc>
        <w:tc>
          <w:tcPr>
            <w:tcW w:w="198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100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0</w:t>
            </w:r>
          </w:p>
        </w:tc>
        <w:tc>
          <w:tcPr>
            <w:tcW w:w="1260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  <w:tc>
          <w:tcPr>
            <w:tcW w:w="1185" w:type="dxa"/>
            <w:shd w:val="clear" w:color="auto" w:fill="FFFFFF"/>
            <w:vAlign w:val="center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50</w:t>
            </w:r>
          </w:p>
        </w:tc>
      </w:tr>
      <w:tr>
        <w:tc>
          <w:tcPr>
            <w:tcW w:w="3885" w:type="dxa"/>
            <w:gridSpan w:val="2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Итого:</w:t>
            </w:r>
          </w:p>
        </w:tc>
        <w:tc>
          <w:tcPr>
            <w:tcW w:w="198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7140</w:t>
            </w:r>
          </w:p>
        </w:tc>
        <w:tc>
          <w:tcPr>
            <w:tcW w:w="126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314</w:t>
            </w:r>
          </w:p>
        </w:tc>
        <w:tc>
          <w:tcPr>
            <w:tcW w:w="1260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200</w:t>
            </w:r>
          </w:p>
        </w:tc>
        <w:tc>
          <w:tcPr>
            <w:tcW w:w="1185" w:type="dxa"/>
            <w:shd w:val="clear" w:color="auto" w:fill="FFFFFF"/>
            <w:vAlign w:val="top"/>
          </w:tcPr>
          <w:p>
            <w:pPr>
              <w:spacing w:before="0" w:after="0"/>
              <w:ind w:left="0" w:right="0"/>
              <w:jc w:val="center"/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</w:pPr>
            <w:r>
              <w:rPr>
                <w:rFonts w:ascii="Tahoma" w:hAnsi="Tahoma"/>
                <w:strike w:val="0"/>
                <w:color w:val="000000"/>
                <w:sz w:val="18"/>
                <w:u w:val="none"/>
                <w:shd w:val="nil" w:fill="auto"/>
              </w:rPr>
              <w:t>200</w:t>
            </w:r>
          </w:p>
        </w:tc>
      </w:tr>
    </w:tbl>
    <w:p>
      <w:pPr>
        <w:spacing w:before="0" w:after="0"/>
        <w:ind w:firstLine="0" w:left="0" w:right="0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pPr>
        <w:spacing w:before="0" w:after="0"/>
        <w:ind w:firstLine="0" w:left="0" w:right="0"/>
        <w:jc w:val="center"/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</w:pPr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p>
      <w:r>
        <w:rPr>
          <w:rFonts w:ascii="Tahoma" w:hAnsi="Tahoma"/>
          <w:b w:val="0"/>
          <w:i w:val="0"/>
          <w:strike w:val="0"/>
          <w:color w:val="000000"/>
          <w:sz w:val="18"/>
          <w:u w:val="none"/>
          <w:shd w:val="clear" w:fill="FFFFFF"/>
        </w:rPr>
        <w:t> </w:t>
      </w: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>
  <w:abstractNum w:abstractNumId="0">
    <w:nsid w:val="19546683"/>
    <w:multiLevelType w:val="hybridMultilevel"/>
    <w:lvl w:ilvl="0" w:tplc="23F24EE2">
      <w:start w:val="1"/>
      <w:numFmt w:val="decimal"/>
      <w:suff w:val="tab"/>
      <w:lvlText w:val="%1."/>
      <w:lvlJc w:val="left"/>
      <w:pPr>
        <w:ind w:hanging="360" w:left="720"/>
      </w:pPr>
      <w:rPr/>
    </w:lvl>
    <w:lvl w:ilvl="1" w:tplc="695D7101">
      <w:start w:val="1"/>
      <w:numFmt w:val="decimal"/>
      <w:suff w:val="tab"/>
      <w:lvlText w:val="%2."/>
      <w:lvlJc w:val="left"/>
      <w:pPr>
        <w:ind w:hanging="360" w:left="1440"/>
      </w:pPr>
      <w:rPr/>
    </w:lvl>
    <w:lvl w:ilvl="2" w:tplc="6BA90851">
      <w:start w:val="1"/>
      <w:numFmt w:val="decimal"/>
      <w:suff w:val="tab"/>
      <w:lvlText w:val="%3."/>
      <w:lvlJc w:val="left"/>
      <w:pPr>
        <w:ind w:hanging="360" w:left="2160"/>
      </w:pPr>
      <w:rPr/>
    </w:lvl>
    <w:lvl w:ilvl="3" w:tplc="4FCE8F2F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072C0B02">
      <w:start w:val="1"/>
      <w:numFmt w:val="decimal"/>
      <w:suff w:val="tab"/>
      <w:lvlText w:val="%5."/>
      <w:lvlJc w:val="left"/>
      <w:pPr>
        <w:ind w:hanging="360" w:left="3600"/>
      </w:pPr>
      <w:rPr/>
    </w:lvl>
    <w:lvl w:ilvl="5" w:tplc="2D90B4F7">
      <w:start w:val="1"/>
      <w:numFmt w:val="decimal"/>
      <w:suff w:val="tab"/>
      <w:lvlText w:val="%6."/>
      <w:lvlJc w:val="left"/>
      <w:pPr>
        <w:ind w:hanging="360" w:left="4320"/>
      </w:pPr>
      <w:rPr/>
    </w:lvl>
    <w:lvl w:ilvl="6" w:tplc="3B665228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7411D634">
      <w:start w:val="1"/>
      <w:numFmt w:val="decimal"/>
      <w:suff w:val="tab"/>
      <w:lvlText w:val="%8."/>
      <w:lvlJc w:val="left"/>
      <w:pPr>
        <w:ind w:hanging="360" w:left="5760"/>
      </w:pPr>
      <w:rPr/>
    </w:lvl>
    <w:lvl w:ilvl="8" w:tplc="17B0A766">
      <w:start w:val="1"/>
      <w:numFmt w:val="decimal"/>
      <w:suff w:val="tab"/>
      <w:lvlText w:val="%9."/>
      <w:lvlJc w:val="left"/>
      <w:pPr>
        <w:ind w:hanging="360" w:left="6480"/>
      </w:pPr>
      <w:rPr/>
    </w:lvl>
  </w:abstractNum>
  <w:abstractNum w:abstractNumId="1">
    <w:nsid w:val="57A21093"/>
    <w:multiLevelType w:val="hybridMultilevel"/>
    <w:lvl w:ilvl="0" w:tplc="750CDB05">
      <w:start w:val="1"/>
      <w:numFmt w:val="decimal"/>
      <w:suff w:val="tab"/>
      <w:lvlText w:val="%1."/>
      <w:lvlJc w:val="left"/>
      <w:pPr>
        <w:ind w:hanging="360" w:left="720"/>
      </w:pPr>
      <w:rPr/>
    </w:lvl>
    <w:lvl w:ilvl="1" w:tplc="49AC8B21">
      <w:start w:val="1"/>
      <w:numFmt w:val="decimal"/>
      <w:suff w:val="tab"/>
      <w:lvlText w:val="%2."/>
      <w:lvlJc w:val="left"/>
      <w:pPr>
        <w:ind w:hanging="360" w:left="1440"/>
      </w:pPr>
      <w:rPr/>
    </w:lvl>
    <w:lvl w:ilvl="2" w:tplc="69904BB8">
      <w:start w:val="1"/>
      <w:numFmt w:val="decimal"/>
      <w:suff w:val="tab"/>
      <w:lvlText w:val="%3."/>
      <w:lvlJc w:val="left"/>
      <w:pPr>
        <w:ind w:hanging="360" w:left="2160"/>
      </w:pPr>
      <w:rPr/>
    </w:lvl>
    <w:lvl w:ilvl="3" w:tplc="3325AA55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1D258374">
      <w:start w:val="1"/>
      <w:numFmt w:val="decimal"/>
      <w:suff w:val="tab"/>
      <w:lvlText w:val="%5."/>
      <w:lvlJc w:val="left"/>
      <w:pPr>
        <w:ind w:hanging="360" w:left="3600"/>
      </w:pPr>
      <w:rPr/>
    </w:lvl>
    <w:lvl w:ilvl="5" w:tplc="7695C97D">
      <w:start w:val="1"/>
      <w:numFmt w:val="decimal"/>
      <w:suff w:val="tab"/>
      <w:lvlText w:val="%6."/>
      <w:lvlJc w:val="left"/>
      <w:pPr>
        <w:ind w:hanging="360" w:left="4320"/>
      </w:pPr>
      <w:rPr/>
    </w:lvl>
    <w:lvl w:ilvl="6" w:tplc="34245DB1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7D873986">
      <w:start w:val="1"/>
      <w:numFmt w:val="decimal"/>
      <w:suff w:val="tab"/>
      <w:lvlText w:val="%8."/>
      <w:lvlJc w:val="left"/>
      <w:pPr>
        <w:ind w:hanging="360" w:left="5760"/>
      </w:pPr>
      <w:rPr/>
    </w:lvl>
    <w:lvl w:ilvl="8" w:tplc="0D5F6A72">
      <w:start w:val="1"/>
      <w:numFmt w:val="decimal"/>
      <w:suff w:val="tab"/>
      <w:lvlText w:val="%9."/>
      <w:lvlJc w:val="left"/>
      <w:pPr>
        <w:ind w:hanging="360" w:left="6480"/>
      </w:pPr>
      <w:rPr/>
    </w:lvl>
  </w:abstractNum>
  <w:abstractNum w:abstractNumId="2">
    <w:nsid w:val="6F5AE4E6"/>
    <w:multiLevelType w:val="hybridMultilevel"/>
    <w:lvl w:ilvl="0" w:tplc="29B1C46D">
      <w:start w:val="1"/>
      <w:numFmt w:val="decimal"/>
      <w:suff w:val="tab"/>
      <w:lvlText w:val="%1."/>
      <w:lvlJc w:val="left"/>
      <w:pPr>
        <w:ind w:hanging="360" w:left="720"/>
      </w:pPr>
      <w:rPr/>
    </w:lvl>
    <w:lvl w:ilvl="1" w:tplc="23749980">
      <w:start w:val="1"/>
      <w:numFmt w:val="decimal"/>
      <w:suff w:val="tab"/>
      <w:lvlText w:val="%2."/>
      <w:lvlJc w:val="left"/>
      <w:pPr>
        <w:ind w:hanging="360" w:left="1440"/>
      </w:pPr>
      <w:rPr/>
    </w:lvl>
    <w:lvl w:ilvl="2" w:tplc="564E1C3B">
      <w:start w:val="1"/>
      <w:numFmt w:val="decimal"/>
      <w:suff w:val="tab"/>
      <w:lvlText w:val="%3."/>
      <w:lvlJc w:val="left"/>
      <w:pPr>
        <w:ind w:hanging="360" w:left="2160"/>
      </w:pPr>
      <w:rPr/>
    </w:lvl>
    <w:lvl w:ilvl="3" w:tplc="192E6E58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32BBD051">
      <w:start w:val="1"/>
      <w:numFmt w:val="decimal"/>
      <w:suff w:val="tab"/>
      <w:lvlText w:val="%5."/>
      <w:lvlJc w:val="left"/>
      <w:pPr>
        <w:ind w:hanging="360" w:left="3600"/>
      </w:pPr>
      <w:rPr/>
    </w:lvl>
    <w:lvl w:ilvl="5" w:tplc="0E81AD78">
      <w:start w:val="1"/>
      <w:numFmt w:val="decimal"/>
      <w:suff w:val="tab"/>
      <w:lvlText w:val="%6."/>
      <w:lvlJc w:val="left"/>
      <w:pPr>
        <w:ind w:hanging="360" w:left="4320"/>
      </w:pPr>
      <w:rPr/>
    </w:lvl>
    <w:lvl w:ilvl="6" w:tplc="3A35B779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00D38DA7">
      <w:start w:val="1"/>
      <w:numFmt w:val="decimal"/>
      <w:suff w:val="tab"/>
      <w:lvlText w:val="%8."/>
      <w:lvlJc w:val="left"/>
      <w:pPr>
        <w:ind w:hanging="360" w:left="5760"/>
      </w:pPr>
      <w:rPr/>
    </w:lvl>
    <w:lvl w:ilvl="8" w:tplc="45F0E3C1">
      <w:start w:val="1"/>
      <w:numFmt w:val="decimal"/>
      <w:suff w:val="tab"/>
      <w:lvlText w:val="%9."/>
      <w:lvlJc w:val="left"/>
      <w:pPr>
        <w:ind w:hanging="360" w:left="6480"/>
      </w:pPr>
      <w:rPr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>
      <w:jc w:val="left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