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0A" w:rsidRPr="006D59DE" w:rsidRDefault="00053F0A" w:rsidP="00FA696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9DE">
        <w:rPr>
          <w:rFonts w:ascii="Times New Roman" w:hAnsi="Times New Roman" w:cs="Times New Roman"/>
          <w:b/>
          <w:sz w:val="24"/>
          <w:szCs w:val="24"/>
        </w:rPr>
        <w:t>АДМИНИСТРАЦИ</w:t>
      </w:r>
      <w:r w:rsidR="000D64FE" w:rsidRPr="006D59DE">
        <w:rPr>
          <w:rFonts w:ascii="Times New Roman" w:hAnsi="Times New Roman" w:cs="Times New Roman"/>
          <w:b/>
          <w:sz w:val="24"/>
          <w:szCs w:val="24"/>
        </w:rPr>
        <w:t>Я</w:t>
      </w:r>
      <w:r w:rsidRPr="006D59D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СУМОНА ХАДЫНСКИЙ ПИЙ-ХЕМСКОГО КОЖУУНА РЕСПУБЛИКИ ТЫВА </w:t>
      </w:r>
    </w:p>
    <w:p w:rsidR="00053F0A" w:rsidRPr="006D59DE" w:rsidRDefault="00053F0A" w:rsidP="00FA696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9DE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 </w:t>
      </w:r>
    </w:p>
    <w:p w:rsidR="00B626AF" w:rsidRPr="006D59DE" w:rsidRDefault="00053F0A" w:rsidP="00FA696A">
      <w:pPr>
        <w:ind w:firstLine="567"/>
        <w:jc w:val="center"/>
        <w:rPr>
          <w:rFonts w:ascii="Times New Roman" w:hAnsi="Times New Roman" w:cs="Times New Roman"/>
        </w:rPr>
      </w:pPr>
      <w:r w:rsidRPr="006D59DE">
        <w:rPr>
          <w:rFonts w:ascii="Times New Roman" w:hAnsi="Times New Roman" w:cs="Times New Roman"/>
        </w:rPr>
        <w:t xml:space="preserve">668513 с: Хадын </w:t>
      </w:r>
      <w:proofErr w:type="gramStart"/>
      <w:r w:rsidRPr="006D59DE">
        <w:rPr>
          <w:rFonts w:ascii="Times New Roman" w:hAnsi="Times New Roman" w:cs="Times New Roman"/>
        </w:rPr>
        <w:t>ул</w:t>
      </w:r>
      <w:proofErr w:type="gramEnd"/>
      <w:r w:rsidRPr="006D59DE">
        <w:rPr>
          <w:rFonts w:ascii="Times New Roman" w:hAnsi="Times New Roman" w:cs="Times New Roman"/>
        </w:rPr>
        <w:t>: Маады-Парынмаа №-22.</w:t>
      </w:r>
    </w:p>
    <w:p w:rsidR="00B626AF" w:rsidRPr="006D59DE" w:rsidRDefault="00053F0A" w:rsidP="00FA696A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Постановление</w:t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от </w:t>
      </w:r>
      <w:r w:rsidR="000D64FE"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>16</w:t>
      </w:r>
      <w:r w:rsidR="00B626AF"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апреля 201</w:t>
      </w:r>
      <w:r w:rsidR="000D64FE"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 №</w:t>
      </w:r>
      <w:r w:rsidR="000D64FE"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>13</w:t>
      </w:r>
      <w:proofErr w:type="gramStart"/>
      <w:r w:rsidR="00B626AF"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B626AF"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</w:t>
      </w:r>
      <w:proofErr w:type="gramEnd"/>
      <w:r w:rsidR="00B626AF"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>б утверждении Порядка определения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</w:p>
    <w:p w:rsidR="00B626AF" w:rsidRPr="006D59DE" w:rsidRDefault="00B626AF" w:rsidP="00FA69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>Во исполнение Федерального закона от 22.11.1995 N 171-ФЗ (в последующих редакциях) "</w:t>
      </w:r>
      <w:hyperlink r:id="rId5" w:history="1">
        <w:r w:rsidRPr="006D59DE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  </w:r>
      </w:hyperlink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>", постановления Правительства Российской Федерации от 27.12.2012 N 1425 "</w:t>
      </w:r>
      <w:hyperlink r:id="rId6" w:history="1">
        <w:r w:rsidRPr="006D59DE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</w:t>
        </w:r>
        <w:proofErr w:type="gramEnd"/>
        <w:r w:rsidRPr="006D59DE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</w:t>
        </w:r>
      </w:hyperlink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>",</w:t>
      </w:r>
      <w:hyperlink r:id="rId7" w:history="1">
        <w:r w:rsidRPr="006D59DE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Устава </w:t>
        </w:r>
        <w:r w:rsidR="00053F0A" w:rsidRPr="006D59DE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сельского поселения сумона Хадынский Пий-Хемского кожууна</w:t>
        </w:r>
      </w:hyperlink>
    </w:p>
    <w:p w:rsidR="00B626AF" w:rsidRPr="006D59DE" w:rsidRDefault="00053F0A" w:rsidP="00FA696A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постановляю:</w:t>
      </w:r>
    </w:p>
    <w:p w:rsidR="00053F0A" w:rsidRPr="006D59DE" w:rsidRDefault="00B626AF" w:rsidP="00FA696A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Утвердить Порядок определения границ прилегающих к некоторым организациям и объектам территорий, на которых не допускается розничная продажа алкогольной пр</w:t>
      </w:r>
      <w:r w:rsidR="00053F0A"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>одукции" (прилагается).</w:t>
      </w:r>
      <w:r w:rsidR="00053F0A"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B626AF" w:rsidRPr="006D59DE" w:rsidRDefault="00053F0A" w:rsidP="00FA696A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>Данное постановление обнародовать на стендах</w:t>
      </w:r>
      <w:r w:rsidR="00D23D48"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СДК с</w:t>
      </w:r>
      <w:proofErr w:type="gramStart"/>
      <w:r w:rsidR="00D23D48"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>.Х</w:t>
      </w:r>
      <w:proofErr w:type="gramEnd"/>
      <w:r w:rsidR="00D23D48"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>адын, администрации сумона</w:t>
      </w:r>
      <w:r w:rsidR="00B626AF"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B626AF"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B626AF"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053F0A" w:rsidRPr="006D59DE" w:rsidRDefault="00590A33" w:rsidP="00FA696A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Председатель администрации:                                             Ш.А. Монгуш</w:t>
      </w:r>
    </w:p>
    <w:p w:rsidR="00053F0A" w:rsidRPr="006D59DE" w:rsidRDefault="00053F0A" w:rsidP="00FA696A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53F0A" w:rsidRPr="006D59DE" w:rsidRDefault="00053F0A" w:rsidP="00FA696A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53F0A" w:rsidRPr="006D59DE" w:rsidRDefault="00053F0A" w:rsidP="00FA696A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D64FE" w:rsidRPr="006D59DE" w:rsidRDefault="000D64FE" w:rsidP="00FA696A">
      <w:pPr>
        <w:pStyle w:val="a7"/>
        <w:ind w:firstLine="567"/>
        <w:jc w:val="right"/>
        <w:rPr>
          <w:rFonts w:ascii="Times New Roman" w:eastAsia="Times New Roman" w:hAnsi="Times New Roman" w:cs="Times New Roman"/>
        </w:rPr>
      </w:pPr>
      <w:r w:rsidRPr="006D59DE">
        <w:rPr>
          <w:rFonts w:ascii="Times New Roman" w:eastAsia="Times New Roman" w:hAnsi="Times New Roman" w:cs="Times New Roman"/>
        </w:rPr>
        <w:lastRenderedPageBreak/>
        <w:t xml:space="preserve">Утверждено постановлением </w:t>
      </w:r>
    </w:p>
    <w:p w:rsidR="00D23D48" w:rsidRPr="006D59DE" w:rsidRDefault="000D64FE" w:rsidP="00FA696A">
      <w:pPr>
        <w:pStyle w:val="a7"/>
        <w:ind w:firstLine="567"/>
        <w:jc w:val="right"/>
        <w:rPr>
          <w:rFonts w:ascii="Times New Roman" w:eastAsia="Times New Roman" w:hAnsi="Times New Roman" w:cs="Times New Roman"/>
        </w:rPr>
      </w:pPr>
      <w:r w:rsidRPr="006D59DE">
        <w:rPr>
          <w:rFonts w:ascii="Times New Roman" w:eastAsia="Times New Roman" w:hAnsi="Times New Roman" w:cs="Times New Roman"/>
        </w:rPr>
        <w:t>п</w:t>
      </w:r>
      <w:r w:rsidR="00D23D48" w:rsidRPr="006D59DE">
        <w:rPr>
          <w:rFonts w:ascii="Times New Roman" w:eastAsia="Times New Roman" w:hAnsi="Times New Roman" w:cs="Times New Roman"/>
        </w:rPr>
        <w:t>редседател</w:t>
      </w:r>
      <w:r w:rsidRPr="006D59DE">
        <w:rPr>
          <w:rFonts w:ascii="Times New Roman" w:eastAsia="Times New Roman" w:hAnsi="Times New Roman" w:cs="Times New Roman"/>
        </w:rPr>
        <w:t>я</w:t>
      </w:r>
      <w:r w:rsidR="00D23D48" w:rsidRPr="006D59DE">
        <w:rPr>
          <w:rFonts w:ascii="Times New Roman" w:eastAsia="Times New Roman" w:hAnsi="Times New Roman" w:cs="Times New Roman"/>
        </w:rPr>
        <w:t xml:space="preserve"> администрации </w:t>
      </w:r>
    </w:p>
    <w:p w:rsidR="00D23D48" w:rsidRPr="006D59DE" w:rsidRDefault="00D23D48" w:rsidP="00FA696A">
      <w:pPr>
        <w:pStyle w:val="a7"/>
        <w:ind w:firstLine="567"/>
        <w:jc w:val="right"/>
        <w:rPr>
          <w:rFonts w:ascii="Times New Roman" w:eastAsia="Times New Roman" w:hAnsi="Times New Roman" w:cs="Times New Roman"/>
        </w:rPr>
      </w:pPr>
      <w:r w:rsidRPr="006D59DE">
        <w:rPr>
          <w:rFonts w:ascii="Times New Roman" w:eastAsia="Times New Roman" w:hAnsi="Times New Roman" w:cs="Times New Roman"/>
        </w:rPr>
        <w:t>сельского поселения</w:t>
      </w:r>
    </w:p>
    <w:p w:rsidR="00D23D48" w:rsidRPr="006D59DE" w:rsidRDefault="00D23D48" w:rsidP="00FA696A">
      <w:pPr>
        <w:pStyle w:val="a7"/>
        <w:ind w:firstLine="567"/>
        <w:jc w:val="right"/>
        <w:rPr>
          <w:rFonts w:ascii="Times New Roman" w:eastAsia="Times New Roman" w:hAnsi="Times New Roman" w:cs="Times New Roman"/>
        </w:rPr>
      </w:pPr>
      <w:r w:rsidRPr="006D59DE">
        <w:rPr>
          <w:rFonts w:ascii="Times New Roman" w:eastAsia="Times New Roman" w:hAnsi="Times New Roman" w:cs="Times New Roman"/>
        </w:rPr>
        <w:t xml:space="preserve"> сумона Хадынский</w:t>
      </w:r>
    </w:p>
    <w:p w:rsidR="00D23D48" w:rsidRPr="006D59DE" w:rsidRDefault="00D23D48" w:rsidP="00FA696A">
      <w:pPr>
        <w:pStyle w:val="a7"/>
        <w:ind w:firstLine="567"/>
        <w:jc w:val="right"/>
        <w:rPr>
          <w:rFonts w:ascii="Times New Roman" w:eastAsia="Times New Roman" w:hAnsi="Times New Roman" w:cs="Times New Roman"/>
        </w:rPr>
      </w:pPr>
      <w:r w:rsidRPr="006D59DE">
        <w:rPr>
          <w:rFonts w:ascii="Times New Roman" w:eastAsia="Times New Roman" w:hAnsi="Times New Roman" w:cs="Times New Roman"/>
        </w:rPr>
        <w:t>Монгуш Ш.А.</w:t>
      </w:r>
    </w:p>
    <w:p w:rsidR="000D64FE" w:rsidRPr="006D59DE" w:rsidRDefault="000D64FE" w:rsidP="00FA696A">
      <w:pPr>
        <w:pStyle w:val="a7"/>
        <w:ind w:firstLine="567"/>
        <w:jc w:val="right"/>
        <w:rPr>
          <w:rFonts w:ascii="Times New Roman" w:eastAsia="Times New Roman" w:hAnsi="Times New Roman" w:cs="Times New Roman"/>
        </w:rPr>
      </w:pPr>
      <w:r w:rsidRPr="006D59DE">
        <w:rPr>
          <w:rFonts w:ascii="Times New Roman" w:eastAsia="Times New Roman" w:hAnsi="Times New Roman" w:cs="Times New Roman"/>
        </w:rPr>
        <w:t>от 16.04.2014г № 13</w:t>
      </w:r>
    </w:p>
    <w:p w:rsidR="00B626AF" w:rsidRPr="006D59DE" w:rsidRDefault="00B626AF" w:rsidP="00FA696A">
      <w:pPr>
        <w:spacing w:before="100" w:beforeAutospacing="1" w:after="100" w:afterAutospacing="1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D59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ПОРЯДОК определения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</w:p>
    <w:p w:rsidR="000D64FE" w:rsidRPr="006D59DE" w:rsidRDefault="00B626AF" w:rsidP="00FA696A">
      <w:pPr>
        <w:spacing w:before="100" w:beforeAutospacing="1" w:after="27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>1. Настоящий Порядок устанавливает способ расчета и минимальные значения расстояний от организаций и (или) объектов, на территориях которых не допускается розничная продажа алкогольной продукции, до границ прилегающих территорий.</w:t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1.1. Границы прилегающих к некоторым организациям и объектам территорий, на которых не допускается розничная продажа алкогольной продукции, определяются Администрацией </w:t>
      </w:r>
      <w:r w:rsidR="00590A33"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>сельского поселения сумона Хадынский</w:t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учетом границ существующих землеотводов.</w:t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1.2. Для определения расстояний от организаций и (или) объектов, на территориях которых не допускается розничная продажа алкогольной продукции, до границ прилегающих территорий используется </w:t>
      </w:r>
      <w:r w:rsidRPr="006D59DE">
        <w:rPr>
          <w:rFonts w:ascii="Times New Roman" w:eastAsia="Times New Roman" w:hAnsi="Times New Roman" w:cs="Times New Roman"/>
          <w:sz w:val="27"/>
          <w:szCs w:val="27"/>
        </w:rPr>
        <w:t xml:space="preserve">Генеральный план </w:t>
      </w:r>
      <w:r w:rsidR="000D64FE" w:rsidRPr="006D59DE">
        <w:rPr>
          <w:rFonts w:ascii="Times New Roman" w:eastAsia="Times New Roman" w:hAnsi="Times New Roman" w:cs="Times New Roman"/>
          <w:sz w:val="27"/>
          <w:szCs w:val="27"/>
        </w:rPr>
        <w:t>села</w:t>
      </w:r>
      <w:r w:rsidRPr="006D59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B626AF" w:rsidRPr="006D59DE" w:rsidRDefault="00B626AF" w:rsidP="00FA696A">
      <w:pPr>
        <w:spacing w:before="100" w:beforeAutospacing="1" w:after="27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>1.3. Определить способ расчета расстояния от организаций и (или) объектов, на территориях которых не допускается розничная продажа алкогольной продукции, до границ прилегающих территорий.</w:t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1.3.1. При отсутствии обособленной территории по пешеходной зоне (маршруту движения пешехода по тротуарам или пешеходным дорожкам) от входа для посетителей в здание (строение, сооружение), в котором расположены организации и (или) объекты, на территории которых не допускается розничная продажа алкогольной продукции, до входа для </w:t>
      </w:r>
      <w:r w:rsidRPr="006D59DE">
        <w:rPr>
          <w:rFonts w:ascii="Times New Roman" w:eastAsia="Times New Roman" w:hAnsi="Times New Roman" w:cs="Times New Roman"/>
          <w:sz w:val="27"/>
          <w:szCs w:val="27"/>
        </w:rPr>
        <w:t>посетителей в стационарный торговый объект.</w:t>
      </w:r>
      <w:r w:rsidRPr="006D59DE">
        <w:rPr>
          <w:rFonts w:ascii="Times New Roman" w:eastAsia="Times New Roman" w:hAnsi="Times New Roman" w:cs="Times New Roman"/>
          <w:color w:val="FF0000"/>
          <w:sz w:val="27"/>
          <w:szCs w:val="27"/>
        </w:rPr>
        <w:br/>
      </w:r>
      <w:r w:rsidRPr="006D59DE">
        <w:rPr>
          <w:rFonts w:ascii="Times New Roman" w:eastAsia="Times New Roman" w:hAnsi="Times New Roman" w:cs="Times New Roman"/>
          <w:color w:val="FF0000"/>
          <w:sz w:val="27"/>
          <w:szCs w:val="27"/>
        </w:rPr>
        <w:br/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>1.3.2. При наличии обособленной территории у стационарного торгового объекта и организации и (или) объекта, на территории которого не допускается розничная продажа алкогольной продукции, - от входа для посетителей на обособленную территорию стационарного торгового объекта до входа на обособленную территорию организации и (или) объекта.</w:t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1.3.3. При наличии обособленной территории только у объекта и организации и (или) объекта, на территории которого не допускается розничная продажа алкогольной продукции, - от входа для посетителей на обособленную </w:t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территорию до входа для посетителей в стационарный торговый объект.</w:t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1.3.4. При пересечении пешеходной зоны с проезжей частью автомобильной дороги общего пользования расстояние измеряется по ближайшему пешеходному переходу. При отсутствии пешеходного перехода - на перекрестках по линии тротуаров или обочин.</w:t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1.4. Пожарные, запасные и иные входы, выходы в здания (строения, сооружения), которые не используются для посетителей, при определении прилегающих территорий не учитываются.</w:t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 наличии у стационарного торгового объекта более одного входа, выхода для посетителей прилегающая территория определяется от каждого входа, выхода.</w:t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 налич</w:t>
      </w:r>
      <w:proofErr w:type="gramStart"/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>ии у о</w:t>
      </w:r>
      <w:proofErr w:type="gramEnd"/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>рганизации и (или) объекта, на территории которого не допускается розничная продажа алкогольной продукции, более одного входа, выхода для посетителей прилегающая территория определяется от каждого входа, выхода.</w:t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1.5. </w:t>
      </w:r>
      <w:proofErr w:type="gramStart"/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>В случаях, когда объект торговли, общественного питания и организации и (или) объекты, на территории которых не допускается розничная продажа алкогольной продукции, расположены в разных частях одного здания, сооружения, помещения (один почтовый адрес), но имеют обособленные входы и выходы, расстояние определяется от входа для посетителей в часть здания (строения, сооружения), в котором расположена организация и (или) объект, на территории которой не</w:t>
      </w:r>
      <w:proofErr w:type="gramEnd"/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допускается розничная продажа алкогольной продукции, до входа для посетителей в стационарный торговый объект, объект, осуществляющий розничную продажу алкогольной продукции при оказании услуг общественного питания.</w:t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2. Минимальное значение расстояния от медицинских, детских, образовательных организаций, объектов спорта, </w:t>
      </w:r>
      <w:r w:rsidR="00590A33"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>мест массового скопления граждан, от мест нахождения источников повышенной опасности до границ прилегающих территорий для объектов, осуществляющих розничную продажу алкогольной продукции при оказании услуг общественного питания, при наличии или отсутствии о</w:t>
      </w:r>
      <w:r w:rsidR="00C268A4">
        <w:rPr>
          <w:rFonts w:ascii="Times New Roman" w:eastAsia="Times New Roman" w:hAnsi="Times New Roman" w:cs="Times New Roman"/>
          <w:color w:val="000000"/>
          <w:sz w:val="27"/>
          <w:szCs w:val="27"/>
        </w:rPr>
        <w:t>бособленной территории равно 1</w:t>
      </w:r>
      <w:r w:rsid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>00</w:t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>м.</w:t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>Минимальное значение расстояния от медицинских организаций до границ прилегающих территорий для объектов, осуществляющих розничную продажу алкогольной продукции в стационарных торговых объектах, при наличии или отсутствии обособленной территории равно 20 м.</w:t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Минимальное значение расстояния от детских, образовательных организаций, объектов спорта, </w:t>
      </w:r>
      <w:r w:rsidR="00590A33"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 границ прилегающих территорий для объектов, осуществляющих розничную продажу алкогольной продукции в стационарных </w:t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торговых объектах, при наличии обособленной территории у стационарного</w:t>
      </w:r>
      <w:proofErr w:type="gramEnd"/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>торгового объекта и организации и (или) объекта, на территории которого не допускается розничная продажа алкогольной</w:t>
      </w:r>
      <w:proofErr w:type="gramEnd"/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>продукции, равно 50 метров, при наличии обособленной территории только у организации и (или) объекта, на территории которого не допускается розничная продажа алкогольной продукции, равно 60 м, при отсутствии обособленной территории - 80 м.</w:t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Минимальное значение расстояния от мест массового скопления граждан, от мест нахождения источников повышенной опасности до границ прилегающих территорий для объектов, осуществляющих розничную продажу алкогольной продукции в стационарных торговых</w:t>
      </w:r>
      <w:proofErr w:type="gramEnd"/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>объектах</w:t>
      </w:r>
      <w:proofErr w:type="gramEnd"/>
      <w:r w:rsidRPr="006D59DE">
        <w:rPr>
          <w:rFonts w:ascii="Times New Roman" w:eastAsia="Times New Roman" w:hAnsi="Times New Roman" w:cs="Times New Roman"/>
          <w:color w:val="000000"/>
          <w:sz w:val="27"/>
          <w:szCs w:val="27"/>
        </w:rPr>
        <w:t>, при наличии или отсутствии обособленной территории равно 100 м.</w:t>
      </w:r>
    </w:p>
    <w:p w:rsidR="003B3A1D" w:rsidRPr="006D59DE" w:rsidRDefault="003B3A1D" w:rsidP="00FA696A">
      <w:pPr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90A33" w:rsidRPr="006D59DE" w:rsidRDefault="00590A33" w:rsidP="00FA696A">
      <w:pPr>
        <w:pStyle w:val="a8"/>
        <w:ind w:firstLine="567"/>
        <w:jc w:val="center"/>
        <w:rPr>
          <w:color w:val="000000" w:themeColor="text1"/>
          <w:sz w:val="28"/>
          <w:szCs w:val="28"/>
        </w:rPr>
      </w:pPr>
      <w:r w:rsidRPr="006D59DE">
        <w:rPr>
          <w:rStyle w:val="a4"/>
          <w:color w:val="000000" w:themeColor="text1"/>
          <w:sz w:val="28"/>
          <w:szCs w:val="28"/>
        </w:rPr>
        <w:t xml:space="preserve">Перечень организаций и объектов, расположенных на территории </w:t>
      </w:r>
      <w:r w:rsidR="000D64FE" w:rsidRPr="006D59DE">
        <w:rPr>
          <w:rStyle w:val="a4"/>
          <w:color w:val="000000" w:themeColor="text1"/>
          <w:sz w:val="28"/>
          <w:szCs w:val="28"/>
        </w:rPr>
        <w:t>сельского поселения сумона Хадынский Пий-Хемского кожууна</w:t>
      </w:r>
      <w:r w:rsidRPr="006D59DE">
        <w:rPr>
          <w:rStyle w:val="a4"/>
          <w:color w:val="000000" w:themeColor="text1"/>
          <w:sz w:val="28"/>
          <w:szCs w:val="28"/>
        </w:rPr>
        <w:t>, на прилегающих территориях к которым не допускается розничная продажа алкогольной продукции</w:t>
      </w:r>
    </w:p>
    <w:tbl>
      <w:tblPr>
        <w:tblW w:w="93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5250"/>
        <w:gridCol w:w="3540"/>
      </w:tblGrid>
      <w:tr w:rsidR="00590A33" w:rsidRPr="006D59DE" w:rsidTr="00590A33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A33" w:rsidRPr="006D59DE" w:rsidRDefault="00590A33" w:rsidP="00FA696A">
            <w:pPr>
              <w:pStyle w:val="a8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6D59DE">
              <w:rPr>
                <w:rStyle w:val="a4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A33" w:rsidRPr="006D59DE" w:rsidRDefault="00590A33" w:rsidP="00FA696A">
            <w:pPr>
              <w:pStyle w:val="a8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6D59DE">
              <w:rPr>
                <w:rStyle w:val="a4"/>
                <w:color w:val="000000" w:themeColor="text1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A33" w:rsidRPr="006D59DE" w:rsidRDefault="00590A33" w:rsidP="00FA696A">
            <w:pPr>
              <w:pStyle w:val="a8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6D59DE">
              <w:rPr>
                <w:rStyle w:val="a4"/>
                <w:color w:val="000000" w:themeColor="text1"/>
                <w:sz w:val="28"/>
                <w:szCs w:val="28"/>
              </w:rPr>
              <w:t>Адрес (место нахождения) юридического лица</w:t>
            </w:r>
          </w:p>
        </w:tc>
      </w:tr>
      <w:tr w:rsidR="00590A33" w:rsidRPr="006D59DE" w:rsidTr="00590A33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A33" w:rsidRPr="006D59DE" w:rsidRDefault="00590A33" w:rsidP="00FA696A">
            <w:pPr>
              <w:pStyle w:val="a8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6D59D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A33" w:rsidRPr="006D59DE" w:rsidRDefault="000D64FE" w:rsidP="00FA696A">
            <w:pPr>
              <w:pStyle w:val="a8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6D59DE">
              <w:rPr>
                <w:color w:val="000000" w:themeColor="text1"/>
                <w:sz w:val="28"/>
                <w:szCs w:val="28"/>
              </w:rPr>
              <w:t xml:space="preserve">МБОУ </w:t>
            </w:r>
            <w:proofErr w:type="spellStart"/>
            <w:r w:rsidRPr="006D59DE">
              <w:rPr>
                <w:color w:val="000000" w:themeColor="text1"/>
                <w:sz w:val="28"/>
                <w:szCs w:val="28"/>
              </w:rPr>
              <w:t>Хадынской</w:t>
            </w:r>
            <w:proofErr w:type="spellEnd"/>
            <w:r w:rsidRPr="006D59DE">
              <w:rPr>
                <w:color w:val="000000" w:themeColor="text1"/>
                <w:sz w:val="28"/>
                <w:szCs w:val="28"/>
              </w:rPr>
              <w:t xml:space="preserve"> СОШ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A33" w:rsidRPr="006D59DE" w:rsidRDefault="000D64FE" w:rsidP="00FA696A">
            <w:pPr>
              <w:pStyle w:val="a8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6D59DE">
              <w:rPr>
                <w:color w:val="000000" w:themeColor="text1"/>
                <w:sz w:val="28"/>
                <w:szCs w:val="28"/>
              </w:rPr>
              <w:t>668513, Республика Тыва Пий-Хемский кожуун ул. Маады Парынма</w:t>
            </w:r>
            <w:r w:rsidR="00013C97" w:rsidRPr="006D59DE">
              <w:rPr>
                <w:color w:val="000000" w:themeColor="text1"/>
                <w:sz w:val="28"/>
                <w:szCs w:val="28"/>
              </w:rPr>
              <w:t>а</w:t>
            </w:r>
            <w:r w:rsidRPr="006D59DE">
              <w:rPr>
                <w:color w:val="000000" w:themeColor="text1"/>
                <w:sz w:val="28"/>
                <w:szCs w:val="28"/>
              </w:rPr>
              <w:t xml:space="preserve">  № 8</w:t>
            </w:r>
          </w:p>
        </w:tc>
      </w:tr>
      <w:tr w:rsidR="00590A33" w:rsidRPr="006D59DE" w:rsidTr="00590A33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A33" w:rsidRPr="006D59DE" w:rsidRDefault="00590A33" w:rsidP="00FA696A">
            <w:pPr>
              <w:pStyle w:val="a8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6D59D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A33" w:rsidRPr="006D59DE" w:rsidRDefault="00590A33" w:rsidP="00FA696A">
            <w:pPr>
              <w:pStyle w:val="a8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6D59DE">
              <w:rPr>
                <w:color w:val="000000" w:themeColor="text1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0D64FE" w:rsidRPr="006D59DE">
              <w:rPr>
                <w:color w:val="000000" w:themeColor="text1"/>
                <w:sz w:val="28"/>
                <w:szCs w:val="28"/>
              </w:rPr>
              <w:t>«Солнышко»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A33" w:rsidRPr="006D59DE" w:rsidRDefault="000D64FE" w:rsidP="00FA696A">
            <w:pPr>
              <w:pStyle w:val="a8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6D59DE">
              <w:rPr>
                <w:color w:val="000000" w:themeColor="text1"/>
                <w:sz w:val="28"/>
                <w:szCs w:val="28"/>
              </w:rPr>
              <w:t xml:space="preserve">668513, Республика Тыва Пий-Хемский кожуун ул. Почтовая № </w:t>
            </w:r>
            <w:r w:rsidR="00013C97" w:rsidRPr="006D59DE">
              <w:rPr>
                <w:color w:val="000000" w:themeColor="text1"/>
                <w:sz w:val="28"/>
                <w:szCs w:val="28"/>
              </w:rPr>
              <w:t>17</w:t>
            </w:r>
          </w:p>
        </w:tc>
      </w:tr>
      <w:tr w:rsidR="00590A33" w:rsidRPr="006D59DE" w:rsidTr="00590A33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A33" w:rsidRPr="006D59DE" w:rsidRDefault="00590A33" w:rsidP="00FA696A">
            <w:pPr>
              <w:pStyle w:val="a8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6D59DE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A33" w:rsidRPr="006D59DE" w:rsidRDefault="00013C97" w:rsidP="00FA696A">
            <w:pPr>
              <w:pStyle w:val="a8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6D59DE">
              <w:rPr>
                <w:color w:val="000000" w:themeColor="text1"/>
                <w:sz w:val="28"/>
                <w:szCs w:val="28"/>
              </w:rPr>
              <w:t xml:space="preserve">Хадынский филиал </w:t>
            </w:r>
            <w:proofErr w:type="spellStart"/>
            <w:r w:rsidRPr="006D59DE">
              <w:rPr>
                <w:color w:val="000000" w:themeColor="text1"/>
                <w:sz w:val="28"/>
                <w:szCs w:val="28"/>
              </w:rPr>
              <w:t>Сукпакского</w:t>
            </w:r>
            <w:proofErr w:type="spellEnd"/>
            <w:r w:rsidRPr="006D59DE">
              <w:rPr>
                <w:color w:val="000000" w:themeColor="text1"/>
                <w:sz w:val="28"/>
                <w:szCs w:val="28"/>
              </w:rPr>
              <w:t xml:space="preserve"> дома интерната для инвалидов и престарелых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A33" w:rsidRPr="006D59DE" w:rsidRDefault="000D64FE" w:rsidP="00FA696A">
            <w:pPr>
              <w:pStyle w:val="a8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6D59DE">
              <w:rPr>
                <w:color w:val="000000" w:themeColor="text1"/>
                <w:sz w:val="28"/>
                <w:szCs w:val="28"/>
              </w:rPr>
              <w:t>668513, Республика Тыва Пий-Хемский кожуун ул. Маады Парынма</w:t>
            </w:r>
            <w:r w:rsidR="006D59DE" w:rsidRPr="006D59DE">
              <w:rPr>
                <w:color w:val="000000" w:themeColor="text1"/>
                <w:sz w:val="28"/>
                <w:szCs w:val="28"/>
              </w:rPr>
              <w:t>а</w:t>
            </w:r>
            <w:r w:rsidRPr="006D59DE">
              <w:rPr>
                <w:color w:val="000000" w:themeColor="text1"/>
                <w:sz w:val="28"/>
                <w:szCs w:val="28"/>
              </w:rPr>
              <w:t xml:space="preserve">  № </w:t>
            </w:r>
            <w:r w:rsidR="00013C97" w:rsidRPr="006D59DE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590A33" w:rsidRPr="006D59DE" w:rsidTr="00590A33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A33" w:rsidRPr="006D59DE" w:rsidRDefault="00590A33" w:rsidP="00FA696A">
            <w:pPr>
              <w:pStyle w:val="a8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6D59D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A33" w:rsidRPr="006D59DE" w:rsidRDefault="000D64FE" w:rsidP="00FA696A">
            <w:pPr>
              <w:pStyle w:val="a8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6D59DE">
              <w:rPr>
                <w:color w:val="000000" w:themeColor="text1"/>
                <w:sz w:val="28"/>
                <w:szCs w:val="28"/>
              </w:rPr>
              <w:t>Сельский Дом Культуры с</w:t>
            </w:r>
            <w:proofErr w:type="gramStart"/>
            <w:r w:rsidRPr="006D59DE">
              <w:rPr>
                <w:color w:val="000000" w:themeColor="text1"/>
                <w:sz w:val="28"/>
                <w:szCs w:val="28"/>
              </w:rPr>
              <w:t>.Х</w:t>
            </w:r>
            <w:proofErr w:type="gramEnd"/>
            <w:r w:rsidRPr="006D59DE">
              <w:rPr>
                <w:color w:val="000000" w:themeColor="text1"/>
                <w:sz w:val="28"/>
                <w:szCs w:val="28"/>
              </w:rPr>
              <w:t>адын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A33" w:rsidRPr="006D59DE" w:rsidRDefault="000D64FE" w:rsidP="00FA696A">
            <w:pPr>
              <w:pStyle w:val="a8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6D59DE">
              <w:rPr>
                <w:color w:val="000000" w:themeColor="text1"/>
                <w:sz w:val="28"/>
                <w:szCs w:val="28"/>
              </w:rPr>
              <w:t>668513, Республика Тыва Пий-Хемский кожуун ул. Маады Парынма</w:t>
            </w:r>
            <w:r w:rsidR="006D59DE" w:rsidRPr="006D59DE">
              <w:rPr>
                <w:color w:val="000000" w:themeColor="text1"/>
                <w:sz w:val="28"/>
                <w:szCs w:val="28"/>
              </w:rPr>
              <w:t>а</w:t>
            </w:r>
            <w:r w:rsidRPr="006D59DE">
              <w:rPr>
                <w:color w:val="000000" w:themeColor="text1"/>
                <w:sz w:val="28"/>
                <w:szCs w:val="28"/>
              </w:rPr>
              <w:t xml:space="preserve">  № </w:t>
            </w:r>
            <w:r w:rsidR="00013C97" w:rsidRPr="006D59DE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590A33" w:rsidRPr="006D59DE" w:rsidTr="00590A33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A33" w:rsidRPr="006D59DE" w:rsidRDefault="00590A33" w:rsidP="00FA696A">
            <w:pPr>
              <w:pStyle w:val="a8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6D59DE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A33" w:rsidRPr="006D59DE" w:rsidRDefault="000D64FE" w:rsidP="00FA696A">
            <w:pPr>
              <w:pStyle w:val="a8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6D59DE">
              <w:rPr>
                <w:color w:val="000000" w:themeColor="text1"/>
                <w:sz w:val="28"/>
                <w:szCs w:val="28"/>
              </w:rPr>
              <w:t>Фельдшерский пункт с</w:t>
            </w:r>
            <w:proofErr w:type="gramStart"/>
            <w:r w:rsidRPr="006D59DE">
              <w:rPr>
                <w:color w:val="000000" w:themeColor="text1"/>
                <w:sz w:val="28"/>
                <w:szCs w:val="28"/>
              </w:rPr>
              <w:t>.Х</w:t>
            </w:r>
            <w:proofErr w:type="gramEnd"/>
            <w:r w:rsidRPr="006D59DE">
              <w:rPr>
                <w:color w:val="000000" w:themeColor="text1"/>
                <w:sz w:val="28"/>
                <w:szCs w:val="28"/>
              </w:rPr>
              <w:t>адын</w:t>
            </w:r>
          </w:p>
          <w:p w:rsidR="000D64FE" w:rsidRPr="006D59DE" w:rsidRDefault="000D64FE" w:rsidP="00FA696A">
            <w:pPr>
              <w:pStyle w:val="a8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A33" w:rsidRPr="006D59DE" w:rsidRDefault="000D64FE" w:rsidP="00FA696A">
            <w:pPr>
              <w:pStyle w:val="a8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6D59DE">
              <w:rPr>
                <w:color w:val="000000" w:themeColor="text1"/>
                <w:sz w:val="28"/>
                <w:szCs w:val="28"/>
              </w:rPr>
              <w:t>668513, Республика Тыва Пий-Хемский кожуун ул. Маады Парынма</w:t>
            </w:r>
            <w:r w:rsidR="006D59DE" w:rsidRPr="006D59DE">
              <w:rPr>
                <w:color w:val="000000" w:themeColor="text1"/>
                <w:sz w:val="28"/>
                <w:szCs w:val="28"/>
              </w:rPr>
              <w:t>а</w:t>
            </w:r>
            <w:r w:rsidRPr="006D59DE">
              <w:rPr>
                <w:color w:val="000000" w:themeColor="text1"/>
                <w:sz w:val="28"/>
                <w:szCs w:val="28"/>
              </w:rPr>
              <w:t xml:space="preserve">  № </w:t>
            </w:r>
            <w:r w:rsidR="00013C97" w:rsidRPr="006D59DE">
              <w:rPr>
                <w:color w:val="000000" w:themeColor="text1"/>
                <w:sz w:val="28"/>
                <w:szCs w:val="28"/>
              </w:rPr>
              <w:t>20-1</w:t>
            </w:r>
          </w:p>
        </w:tc>
      </w:tr>
    </w:tbl>
    <w:p w:rsidR="00B626AF" w:rsidRPr="006D59DE" w:rsidRDefault="00B626AF" w:rsidP="00FA696A">
      <w:pPr>
        <w:ind w:firstLine="567"/>
        <w:rPr>
          <w:rFonts w:ascii="Times New Roman" w:hAnsi="Times New Roman" w:cs="Times New Roman"/>
        </w:rPr>
      </w:pPr>
    </w:p>
    <w:sectPr w:rsidR="00B626AF" w:rsidRPr="006D59DE" w:rsidSect="003B3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94AD8"/>
    <w:multiLevelType w:val="multilevel"/>
    <w:tmpl w:val="FBE4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2D483F"/>
    <w:multiLevelType w:val="multilevel"/>
    <w:tmpl w:val="C0E0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059D2"/>
    <w:multiLevelType w:val="multilevel"/>
    <w:tmpl w:val="441C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322AE"/>
    <w:multiLevelType w:val="multilevel"/>
    <w:tmpl w:val="2724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35518E"/>
    <w:multiLevelType w:val="multilevel"/>
    <w:tmpl w:val="01F0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717954"/>
    <w:multiLevelType w:val="multilevel"/>
    <w:tmpl w:val="DBB6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BD0A95"/>
    <w:multiLevelType w:val="multilevel"/>
    <w:tmpl w:val="3D64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CF256A"/>
    <w:multiLevelType w:val="multilevel"/>
    <w:tmpl w:val="E248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626AF"/>
    <w:rsid w:val="00013C97"/>
    <w:rsid w:val="00053F0A"/>
    <w:rsid w:val="000D64FE"/>
    <w:rsid w:val="003B3A1D"/>
    <w:rsid w:val="00590A33"/>
    <w:rsid w:val="006D59DE"/>
    <w:rsid w:val="00B530F7"/>
    <w:rsid w:val="00B626AF"/>
    <w:rsid w:val="00C268A4"/>
    <w:rsid w:val="00D23D48"/>
    <w:rsid w:val="00EB78C0"/>
    <w:rsid w:val="00FA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1D"/>
  </w:style>
  <w:style w:type="paragraph" w:styleId="1">
    <w:name w:val="heading 1"/>
    <w:basedOn w:val="a"/>
    <w:link w:val="10"/>
    <w:uiPriority w:val="9"/>
    <w:qFormat/>
    <w:rsid w:val="00B62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626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6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626A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B6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6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626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26AF"/>
  </w:style>
  <w:style w:type="paragraph" w:customStyle="1" w:styleId="unformattext">
    <w:name w:val="unformattext"/>
    <w:basedOn w:val="a"/>
    <w:rsid w:val="00B6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B6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26AF"/>
    <w:rPr>
      <w:b/>
      <w:bCs/>
    </w:rPr>
  </w:style>
  <w:style w:type="paragraph" w:customStyle="1" w:styleId="copyright">
    <w:name w:val="copyright"/>
    <w:basedOn w:val="a"/>
    <w:rsid w:val="00B6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6A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23D48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590A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8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4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8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83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2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4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4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5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00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45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5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8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4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1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1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720028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90370" TargetMode="External"/><Relationship Id="rId5" Type="http://schemas.openxmlformats.org/officeDocument/2006/relationships/hyperlink" Target="http://docs.cntd.ru/document/903648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2014-04-17T06:04:00Z</cp:lastPrinted>
  <dcterms:created xsi:type="dcterms:W3CDTF">2014-04-17T03:44:00Z</dcterms:created>
  <dcterms:modified xsi:type="dcterms:W3CDTF">2014-04-17T06:07:00Z</dcterms:modified>
</cp:coreProperties>
</file>