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14" w:rsidRDefault="00A67414" w:rsidP="00A67414">
      <w:pPr>
        <w:rPr>
          <w:lang w:val="en-US"/>
        </w:rPr>
      </w:pPr>
    </w:p>
    <w:p w:rsidR="0067027D" w:rsidRDefault="006B6BE6" w:rsidP="00077813">
      <w:pPr>
        <w:jc w:val="center"/>
        <w:rPr>
          <w:b/>
          <w:sz w:val="26"/>
          <w:szCs w:val="26"/>
        </w:rPr>
      </w:pPr>
      <w:r w:rsidRPr="0067027D">
        <w:rPr>
          <w:b/>
          <w:sz w:val="26"/>
          <w:szCs w:val="26"/>
        </w:rPr>
        <w:t>Отчет о</w:t>
      </w:r>
      <w:r w:rsidR="0067027D" w:rsidRPr="0067027D">
        <w:rPr>
          <w:b/>
          <w:sz w:val="26"/>
          <w:szCs w:val="26"/>
        </w:rPr>
        <w:t xml:space="preserve"> реализации муниципальной программы </w:t>
      </w:r>
      <w:r w:rsidR="00077813" w:rsidRPr="0067027D">
        <w:rPr>
          <w:b/>
          <w:sz w:val="26"/>
          <w:szCs w:val="26"/>
        </w:rPr>
        <w:t xml:space="preserve">«Создание </w:t>
      </w:r>
      <w:r w:rsidR="0067027D" w:rsidRPr="0067027D">
        <w:rPr>
          <w:b/>
          <w:sz w:val="26"/>
          <w:szCs w:val="26"/>
        </w:rPr>
        <w:t xml:space="preserve">благоприятных </w:t>
      </w:r>
      <w:r w:rsidR="00077813" w:rsidRPr="0067027D">
        <w:rPr>
          <w:b/>
          <w:sz w:val="26"/>
          <w:szCs w:val="26"/>
        </w:rPr>
        <w:t xml:space="preserve">условий для </w:t>
      </w:r>
      <w:r w:rsidR="0067027D" w:rsidRPr="0067027D">
        <w:rPr>
          <w:b/>
          <w:sz w:val="26"/>
          <w:szCs w:val="26"/>
        </w:rPr>
        <w:t xml:space="preserve">устойчивого экономического развития в Пий-Хемском кожууне </w:t>
      </w:r>
    </w:p>
    <w:p w:rsidR="006B6BE6" w:rsidRPr="0067027D" w:rsidRDefault="0067027D" w:rsidP="00077813">
      <w:pPr>
        <w:jc w:val="center"/>
        <w:rPr>
          <w:b/>
          <w:sz w:val="26"/>
          <w:szCs w:val="26"/>
        </w:rPr>
      </w:pPr>
      <w:r w:rsidRPr="0067027D">
        <w:rPr>
          <w:b/>
          <w:sz w:val="26"/>
          <w:szCs w:val="26"/>
        </w:rPr>
        <w:t xml:space="preserve">на 2021-2023 </w:t>
      </w:r>
      <w:r w:rsidR="00077813" w:rsidRPr="0067027D">
        <w:rPr>
          <w:b/>
          <w:sz w:val="26"/>
          <w:szCs w:val="26"/>
        </w:rPr>
        <w:t>г</w:t>
      </w:r>
      <w:r w:rsidRPr="0067027D">
        <w:rPr>
          <w:b/>
          <w:sz w:val="26"/>
          <w:szCs w:val="26"/>
        </w:rPr>
        <w:t>оды</w:t>
      </w:r>
      <w:r w:rsidR="00077813" w:rsidRPr="0067027D">
        <w:rPr>
          <w:b/>
          <w:sz w:val="26"/>
          <w:szCs w:val="26"/>
        </w:rPr>
        <w:t>»</w:t>
      </w:r>
      <w:r w:rsidR="00081006">
        <w:rPr>
          <w:b/>
          <w:sz w:val="26"/>
          <w:szCs w:val="26"/>
        </w:rPr>
        <w:t xml:space="preserve"> за 2022 </w:t>
      </w:r>
      <w:r w:rsidR="00D465E6" w:rsidRPr="0067027D">
        <w:rPr>
          <w:b/>
          <w:sz w:val="26"/>
          <w:szCs w:val="26"/>
        </w:rPr>
        <w:t>г</w:t>
      </w:r>
      <w:r w:rsidR="00081006">
        <w:rPr>
          <w:b/>
          <w:sz w:val="26"/>
          <w:szCs w:val="26"/>
        </w:rPr>
        <w:t>од</w:t>
      </w:r>
      <w:r w:rsidR="00D465E6" w:rsidRPr="0067027D">
        <w:rPr>
          <w:b/>
          <w:sz w:val="26"/>
          <w:szCs w:val="26"/>
        </w:rPr>
        <w:t>.</w:t>
      </w:r>
    </w:p>
    <w:p w:rsidR="000314E3" w:rsidRPr="00D465E6" w:rsidRDefault="000314E3" w:rsidP="00077813">
      <w:pPr>
        <w:jc w:val="center"/>
        <w:rPr>
          <w:b/>
        </w:rPr>
      </w:pPr>
    </w:p>
    <w:tbl>
      <w:tblPr>
        <w:tblStyle w:val="a5"/>
        <w:tblW w:w="10139" w:type="dxa"/>
        <w:tblLayout w:type="fixed"/>
        <w:tblLook w:val="04A0" w:firstRow="1" w:lastRow="0" w:firstColumn="1" w:lastColumn="0" w:noHBand="0" w:noVBand="1"/>
      </w:tblPr>
      <w:tblGrid>
        <w:gridCol w:w="426"/>
        <w:gridCol w:w="3084"/>
        <w:gridCol w:w="1588"/>
        <w:gridCol w:w="1276"/>
        <w:gridCol w:w="1389"/>
        <w:gridCol w:w="2376"/>
      </w:tblGrid>
      <w:tr w:rsidR="009167EB" w:rsidTr="00484B39">
        <w:tc>
          <w:tcPr>
            <w:tcW w:w="426" w:type="dxa"/>
            <w:vMerge w:val="restart"/>
          </w:tcPr>
          <w:p w:rsidR="009167EB" w:rsidRDefault="009167EB" w:rsidP="00077813">
            <w:pPr>
              <w:jc w:val="center"/>
            </w:pPr>
            <w:r>
              <w:t>№</w:t>
            </w:r>
          </w:p>
          <w:p w:rsidR="009167EB" w:rsidRDefault="009167EB" w:rsidP="00077813">
            <w:pPr>
              <w:jc w:val="center"/>
            </w:pPr>
            <w:r>
              <w:t>п/п</w:t>
            </w:r>
          </w:p>
        </w:tc>
        <w:tc>
          <w:tcPr>
            <w:tcW w:w="3084" w:type="dxa"/>
            <w:vMerge w:val="restart"/>
            <w:vAlign w:val="center"/>
          </w:tcPr>
          <w:p w:rsidR="009167EB" w:rsidRDefault="009167EB" w:rsidP="009167EB">
            <w:r>
              <w:t>Наименование программы, показателей (индикаторов)</w:t>
            </w:r>
          </w:p>
        </w:tc>
        <w:tc>
          <w:tcPr>
            <w:tcW w:w="4253" w:type="dxa"/>
            <w:gridSpan w:val="3"/>
          </w:tcPr>
          <w:p w:rsidR="009167EB" w:rsidRDefault="009167EB" w:rsidP="00077813">
            <w:pPr>
              <w:jc w:val="center"/>
            </w:pPr>
            <w:r>
              <w:t>Показатели результативности, отражающие результаты реализации подпрограммы</w:t>
            </w:r>
          </w:p>
        </w:tc>
        <w:tc>
          <w:tcPr>
            <w:tcW w:w="2376" w:type="dxa"/>
            <w:vMerge w:val="restart"/>
            <w:vAlign w:val="center"/>
          </w:tcPr>
          <w:p w:rsidR="009167EB" w:rsidRDefault="009167EB" w:rsidP="009167EB">
            <w:r>
              <w:t>Достижение целевых индикаторов</w:t>
            </w:r>
          </w:p>
        </w:tc>
      </w:tr>
      <w:tr w:rsidR="009167EB" w:rsidTr="004A4D3A">
        <w:tc>
          <w:tcPr>
            <w:tcW w:w="426" w:type="dxa"/>
            <w:vMerge/>
          </w:tcPr>
          <w:p w:rsidR="009167EB" w:rsidRDefault="009167EB" w:rsidP="00077813">
            <w:pPr>
              <w:jc w:val="center"/>
            </w:pPr>
          </w:p>
        </w:tc>
        <w:tc>
          <w:tcPr>
            <w:tcW w:w="3084" w:type="dxa"/>
            <w:vMerge/>
          </w:tcPr>
          <w:p w:rsidR="009167EB" w:rsidRDefault="009167EB" w:rsidP="000314E3"/>
        </w:tc>
        <w:tc>
          <w:tcPr>
            <w:tcW w:w="1588" w:type="dxa"/>
            <w:vAlign w:val="center"/>
          </w:tcPr>
          <w:p w:rsidR="009167EB" w:rsidRPr="004A4D3A" w:rsidRDefault="009167EB" w:rsidP="009167EB">
            <w:pPr>
              <w:rPr>
                <w:sz w:val="22"/>
                <w:szCs w:val="22"/>
              </w:rPr>
            </w:pPr>
            <w:r w:rsidRPr="004A4D3A">
              <w:rPr>
                <w:sz w:val="22"/>
                <w:szCs w:val="22"/>
              </w:rPr>
              <w:t xml:space="preserve">Утверждены при принятии программы </w:t>
            </w:r>
          </w:p>
        </w:tc>
        <w:tc>
          <w:tcPr>
            <w:tcW w:w="1276" w:type="dxa"/>
            <w:vAlign w:val="center"/>
          </w:tcPr>
          <w:p w:rsidR="009167EB" w:rsidRPr="004A4D3A" w:rsidRDefault="009167EB" w:rsidP="009167EB">
            <w:pPr>
              <w:jc w:val="center"/>
              <w:rPr>
                <w:sz w:val="22"/>
                <w:szCs w:val="22"/>
              </w:rPr>
            </w:pPr>
            <w:r w:rsidRPr="004A4D3A">
              <w:rPr>
                <w:sz w:val="22"/>
                <w:szCs w:val="22"/>
              </w:rPr>
              <w:t>Фактически достигнуто</w:t>
            </w:r>
          </w:p>
        </w:tc>
        <w:tc>
          <w:tcPr>
            <w:tcW w:w="1389" w:type="dxa"/>
          </w:tcPr>
          <w:p w:rsidR="009167EB" w:rsidRDefault="009167EB" w:rsidP="00077813">
            <w:pPr>
              <w:jc w:val="center"/>
            </w:pPr>
            <w:r>
              <w:t xml:space="preserve">Оценка результатов: </w:t>
            </w:r>
            <w:r w:rsidRPr="000314E3">
              <w:rPr>
                <w:sz w:val="20"/>
                <w:szCs w:val="20"/>
              </w:rPr>
              <w:t>(+</w:t>
            </w:r>
            <w:r>
              <w:rPr>
                <w:sz w:val="20"/>
                <w:szCs w:val="20"/>
              </w:rPr>
              <w:t>) -</w:t>
            </w:r>
            <w:r w:rsidRPr="000314E3">
              <w:rPr>
                <w:sz w:val="20"/>
                <w:szCs w:val="20"/>
              </w:rPr>
              <w:t>результат достигнут, (-) – результат не достигнут</w:t>
            </w:r>
          </w:p>
        </w:tc>
        <w:tc>
          <w:tcPr>
            <w:tcW w:w="2376" w:type="dxa"/>
            <w:vMerge/>
          </w:tcPr>
          <w:p w:rsidR="009167EB" w:rsidRDefault="009167EB" w:rsidP="00077813">
            <w:pPr>
              <w:jc w:val="center"/>
            </w:pPr>
          </w:p>
        </w:tc>
      </w:tr>
      <w:tr w:rsidR="000314E3" w:rsidTr="004A4D3A">
        <w:tc>
          <w:tcPr>
            <w:tcW w:w="426" w:type="dxa"/>
          </w:tcPr>
          <w:p w:rsidR="000314E3" w:rsidRPr="000314E3" w:rsidRDefault="000314E3" w:rsidP="000314E3">
            <w:pPr>
              <w:jc w:val="center"/>
              <w:rPr>
                <w:sz w:val="16"/>
                <w:szCs w:val="16"/>
              </w:rPr>
            </w:pPr>
            <w:r w:rsidRPr="000314E3">
              <w:rPr>
                <w:sz w:val="16"/>
                <w:szCs w:val="16"/>
              </w:rPr>
              <w:t>1</w:t>
            </w:r>
          </w:p>
        </w:tc>
        <w:tc>
          <w:tcPr>
            <w:tcW w:w="3084" w:type="dxa"/>
          </w:tcPr>
          <w:p w:rsidR="000314E3" w:rsidRPr="000314E3" w:rsidRDefault="000314E3" w:rsidP="000314E3">
            <w:pPr>
              <w:jc w:val="center"/>
              <w:rPr>
                <w:sz w:val="16"/>
                <w:szCs w:val="16"/>
              </w:rPr>
            </w:pPr>
            <w:r w:rsidRPr="000314E3">
              <w:rPr>
                <w:sz w:val="16"/>
                <w:szCs w:val="16"/>
              </w:rPr>
              <w:t>2</w:t>
            </w:r>
          </w:p>
        </w:tc>
        <w:tc>
          <w:tcPr>
            <w:tcW w:w="1588" w:type="dxa"/>
          </w:tcPr>
          <w:p w:rsidR="000314E3" w:rsidRPr="000314E3" w:rsidRDefault="000314E3" w:rsidP="000314E3">
            <w:pPr>
              <w:jc w:val="center"/>
              <w:rPr>
                <w:sz w:val="16"/>
                <w:szCs w:val="16"/>
              </w:rPr>
            </w:pPr>
            <w:r w:rsidRPr="000314E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0314E3" w:rsidRPr="000314E3" w:rsidRDefault="000314E3" w:rsidP="000314E3">
            <w:pPr>
              <w:jc w:val="center"/>
              <w:rPr>
                <w:sz w:val="16"/>
                <w:szCs w:val="16"/>
              </w:rPr>
            </w:pPr>
            <w:r w:rsidRPr="000314E3">
              <w:rPr>
                <w:sz w:val="16"/>
                <w:szCs w:val="16"/>
              </w:rPr>
              <w:t>4</w:t>
            </w:r>
          </w:p>
        </w:tc>
        <w:tc>
          <w:tcPr>
            <w:tcW w:w="1389" w:type="dxa"/>
          </w:tcPr>
          <w:p w:rsidR="000314E3" w:rsidRPr="000314E3" w:rsidRDefault="000314E3" w:rsidP="000314E3">
            <w:pPr>
              <w:jc w:val="center"/>
              <w:rPr>
                <w:sz w:val="16"/>
                <w:szCs w:val="16"/>
              </w:rPr>
            </w:pPr>
            <w:r w:rsidRPr="000314E3">
              <w:rPr>
                <w:sz w:val="16"/>
                <w:szCs w:val="16"/>
              </w:rPr>
              <w:t>5</w:t>
            </w:r>
          </w:p>
        </w:tc>
        <w:tc>
          <w:tcPr>
            <w:tcW w:w="2376" w:type="dxa"/>
          </w:tcPr>
          <w:p w:rsidR="000314E3" w:rsidRPr="000314E3" w:rsidRDefault="000314E3" w:rsidP="000314E3">
            <w:pPr>
              <w:jc w:val="center"/>
              <w:rPr>
                <w:sz w:val="16"/>
                <w:szCs w:val="16"/>
              </w:rPr>
            </w:pPr>
            <w:r w:rsidRPr="000314E3">
              <w:rPr>
                <w:sz w:val="16"/>
                <w:szCs w:val="16"/>
              </w:rPr>
              <w:t>6</w:t>
            </w:r>
          </w:p>
        </w:tc>
      </w:tr>
      <w:tr w:rsidR="00EE39E6" w:rsidTr="004A4D3A">
        <w:tc>
          <w:tcPr>
            <w:tcW w:w="426" w:type="dxa"/>
          </w:tcPr>
          <w:p w:rsidR="00EE39E6" w:rsidRPr="005A183B" w:rsidRDefault="005A183B" w:rsidP="00EE39E6">
            <w:pPr>
              <w:jc w:val="center"/>
            </w:pPr>
            <w:r w:rsidRPr="005A183B">
              <w:t>1</w:t>
            </w:r>
          </w:p>
        </w:tc>
        <w:tc>
          <w:tcPr>
            <w:tcW w:w="3084" w:type="dxa"/>
          </w:tcPr>
          <w:p w:rsidR="00EE39E6" w:rsidRPr="006B37BA" w:rsidRDefault="00EE39E6" w:rsidP="006B37BA">
            <w:pPr>
              <w:jc w:val="both"/>
            </w:pPr>
            <w:r>
              <w:t xml:space="preserve">Финансовое обеспечение </w:t>
            </w:r>
            <w:r w:rsidRPr="00EE39E6">
              <w:t>муниципальной программы «Создание благоприятных условий для устойчивого экономического развития в Пий-Хемском кожууне на 2021-2023 годы»</w:t>
            </w:r>
          </w:p>
        </w:tc>
        <w:tc>
          <w:tcPr>
            <w:tcW w:w="1588" w:type="dxa"/>
          </w:tcPr>
          <w:p w:rsidR="00EE39E6" w:rsidRDefault="00EE39E6" w:rsidP="00EE39E6">
            <w:pPr>
              <w:jc w:val="center"/>
            </w:pPr>
          </w:p>
          <w:p w:rsidR="00EE39E6" w:rsidRDefault="00175326" w:rsidP="00EE39E6">
            <w:pPr>
              <w:jc w:val="center"/>
            </w:pPr>
            <w:r>
              <w:t>20</w:t>
            </w:r>
            <w:r w:rsidR="00EE39E6">
              <w:t>0,0 тыс руб</w:t>
            </w:r>
          </w:p>
        </w:tc>
        <w:tc>
          <w:tcPr>
            <w:tcW w:w="1276" w:type="dxa"/>
          </w:tcPr>
          <w:p w:rsidR="00EE39E6" w:rsidRDefault="00EE39E6" w:rsidP="00EE39E6">
            <w:pPr>
              <w:jc w:val="center"/>
            </w:pPr>
          </w:p>
          <w:p w:rsidR="00EE39E6" w:rsidRDefault="00175326" w:rsidP="00EE39E6">
            <w:pPr>
              <w:jc w:val="center"/>
            </w:pPr>
            <w:r>
              <w:t>20</w:t>
            </w:r>
            <w:r w:rsidR="00EE39E6">
              <w:t>0,0 тыс руб</w:t>
            </w:r>
          </w:p>
        </w:tc>
        <w:tc>
          <w:tcPr>
            <w:tcW w:w="1389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+</w:t>
            </w:r>
          </w:p>
        </w:tc>
        <w:tc>
          <w:tcPr>
            <w:tcW w:w="2376" w:type="dxa"/>
            <w:vAlign w:val="center"/>
          </w:tcPr>
          <w:p w:rsidR="00EE39E6" w:rsidRDefault="00175326" w:rsidP="00EE39E6">
            <w:r>
              <w:t>Показатель достигнут, освоено 100</w:t>
            </w:r>
            <w:r w:rsidR="00EE39E6">
              <w:t>% средств программы</w:t>
            </w:r>
          </w:p>
        </w:tc>
      </w:tr>
      <w:tr w:rsidR="00EE39E6" w:rsidTr="004A4D3A">
        <w:tc>
          <w:tcPr>
            <w:tcW w:w="426" w:type="dxa"/>
          </w:tcPr>
          <w:p w:rsidR="00EE39E6" w:rsidRDefault="00484B39" w:rsidP="00EE39E6">
            <w:pPr>
              <w:jc w:val="center"/>
            </w:pPr>
            <w:r>
              <w:t>2</w:t>
            </w:r>
          </w:p>
        </w:tc>
        <w:tc>
          <w:tcPr>
            <w:tcW w:w="3084" w:type="dxa"/>
          </w:tcPr>
          <w:p w:rsidR="00EE39E6" w:rsidRDefault="00EE39E6" w:rsidP="00EE39E6">
            <w:r>
              <w:t>Увеличение доли среднесписочной численности работников субъектов МСП к общей численности работников крупных и средних организаций</w:t>
            </w:r>
            <w:r w:rsidR="00484B39">
              <w:t>,</w:t>
            </w:r>
            <w:r>
              <w:t xml:space="preserve"> /%/</w:t>
            </w:r>
          </w:p>
        </w:tc>
        <w:tc>
          <w:tcPr>
            <w:tcW w:w="1588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</w:p>
          <w:p w:rsidR="00EE39E6" w:rsidRDefault="00484B39" w:rsidP="00EE39E6">
            <w:pPr>
              <w:jc w:val="center"/>
            </w:pPr>
            <w:r>
              <w:t>10,5</w:t>
            </w:r>
          </w:p>
        </w:tc>
        <w:tc>
          <w:tcPr>
            <w:tcW w:w="1276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</w:p>
          <w:p w:rsidR="00EE39E6" w:rsidRDefault="00A95421" w:rsidP="00EE39E6">
            <w:pPr>
              <w:jc w:val="center"/>
            </w:pPr>
            <w:r>
              <w:t>13,8</w:t>
            </w:r>
          </w:p>
        </w:tc>
        <w:tc>
          <w:tcPr>
            <w:tcW w:w="1389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+</w:t>
            </w:r>
          </w:p>
        </w:tc>
        <w:tc>
          <w:tcPr>
            <w:tcW w:w="2376" w:type="dxa"/>
          </w:tcPr>
          <w:p w:rsidR="00EE39E6" w:rsidRDefault="00EE39E6" w:rsidP="00EE39E6">
            <w:r>
              <w:t>Целевой индикатор выполнен по</w:t>
            </w:r>
            <w:r w:rsidR="00484B39">
              <w:t>л</w:t>
            </w:r>
            <w:r w:rsidR="005B26C7">
              <w:t xml:space="preserve">ностью, исполнение </w:t>
            </w:r>
            <w:r w:rsidR="0057145C">
              <w:t xml:space="preserve">составило </w:t>
            </w:r>
            <w:r w:rsidR="005B26C7">
              <w:t>1</w:t>
            </w:r>
            <w:r w:rsidR="00A95421">
              <w:t>31,4</w:t>
            </w:r>
            <w:r>
              <w:t>%</w:t>
            </w:r>
          </w:p>
        </w:tc>
      </w:tr>
      <w:tr w:rsidR="00EE39E6" w:rsidTr="004A4D3A">
        <w:trPr>
          <w:trHeight w:val="1503"/>
        </w:trPr>
        <w:tc>
          <w:tcPr>
            <w:tcW w:w="426" w:type="dxa"/>
          </w:tcPr>
          <w:p w:rsidR="00EE39E6" w:rsidRDefault="00484B39" w:rsidP="00EE39E6">
            <w:pPr>
              <w:jc w:val="center"/>
            </w:pPr>
            <w:r>
              <w:t>3</w:t>
            </w:r>
          </w:p>
        </w:tc>
        <w:tc>
          <w:tcPr>
            <w:tcW w:w="3084" w:type="dxa"/>
          </w:tcPr>
          <w:p w:rsidR="00EE39E6" w:rsidRDefault="00484B39" w:rsidP="00484B39">
            <w:r>
              <w:t>Увеличение объемов промышленн</w:t>
            </w:r>
            <w:r w:rsidR="00FF6691">
              <w:t>ого производства</w:t>
            </w:r>
            <w:r>
              <w:t xml:space="preserve"> к предыдущему году, </w:t>
            </w:r>
            <w:r w:rsidR="00EE39E6">
              <w:t>/%/</w:t>
            </w:r>
          </w:p>
        </w:tc>
        <w:tc>
          <w:tcPr>
            <w:tcW w:w="1588" w:type="dxa"/>
          </w:tcPr>
          <w:p w:rsidR="00EE39E6" w:rsidRDefault="00EE39E6" w:rsidP="00EE39E6">
            <w:pPr>
              <w:jc w:val="center"/>
            </w:pPr>
          </w:p>
          <w:p w:rsidR="00EE39E6" w:rsidRDefault="00484B39" w:rsidP="00484B39">
            <w:pPr>
              <w:jc w:val="center"/>
            </w:pPr>
            <w:r>
              <w:t>3,5</w:t>
            </w:r>
          </w:p>
        </w:tc>
        <w:tc>
          <w:tcPr>
            <w:tcW w:w="1276" w:type="dxa"/>
          </w:tcPr>
          <w:p w:rsidR="00EE39E6" w:rsidRDefault="00EE39E6" w:rsidP="00EE39E6">
            <w:pPr>
              <w:jc w:val="center"/>
            </w:pPr>
          </w:p>
          <w:p w:rsidR="00EE39E6" w:rsidRDefault="00FF6691" w:rsidP="00EE39E6">
            <w:pPr>
              <w:jc w:val="center"/>
            </w:pPr>
            <w:r>
              <w:t>3,0</w:t>
            </w:r>
          </w:p>
        </w:tc>
        <w:tc>
          <w:tcPr>
            <w:tcW w:w="1389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-</w:t>
            </w:r>
          </w:p>
        </w:tc>
        <w:tc>
          <w:tcPr>
            <w:tcW w:w="2376" w:type="dxa"/>
          </w:tcPr>
          <w:p w:rsidR="00EE39E6" w:rsidRPr="00D63CE5" w:rsidRDefault="00FF6691" w:rsidP="00FF6691">
            <w:pPr>
              <w:rPr>
                <w:sz w:val="20"/>
                <w:szCs w:val="20"/>
              </w:rPr>
            </w:pPr>
            <w:r>
              <w:t>Целевой индикатор выполне</w:t>
            </w:r>
            <w:r w:rsidR="0057145C">
              <w:t>н не полностью, выполнение индикатора</w:t>
            </w:r>
            <w:r>
              <w:t xml:space="preserve"> составило 85,7%</w:t>
            </w:r>
          </w:p>
        </w:tc>
      </w:tr>
      <w:tr w:rsidR="00EE39E6" w:rsidTr="004A4D3A">
        <w:tc>
          <w:tcPr>
            <w:tcW w:w="426" w:type="dxa"/>
          </w:tcPr>
          <w:p w:rsidR="00EE39E6" w:rsidRDefault="00484B39" w:rsidP="00EE39E6">
            <w:pPr>
              <w:jc w:val="center"/>
            </w:pPr>
            <w:r>
              <w:t>4</w:t>
            </w:r>
          </w:p>
        </w:tc>
        <w:tc>
          <w:tcPr>
            <w:tcW w:w="3084" w:type="dxa"/>
          </w:tcPr>
          <w:p w:rsidR="00EE39E6" w:rsidRDefault="00EE39E6" w:rsidP="00EE39E6">
            <w:r>
              <w:t>Увеличение числа вновь зарегистрированных субъектов МСП /ед./</w:t>
            </w:r>
          </w:p>
        </w:tc>
        <w:tc>
          <w:tcPr>
            <w:tcW w:w="1588" w:type="dxa"/>
          </w:tcPr>
          <w:p w:rsidR="00EE39E6" w:rsidRDefault="00EE39E6" w:rsidP="00EE39E6">
            <w:pPr>
              <w:jc w:val="center"/>
            </w:pPr>
          </w:p>
          <w:p w:rsidR="00EE39E6" w:rsidRDefault="00484B39" w:rsidP="00EE39E6">
            <w:pPr>
              <w:jc w:val="center"/>
            </w:pPr>
            <w:r>
              <w:t>до 8</w:t>
            </w:r>
          </w:p>
        </w:tc>
        <w:tc>
          <w:tcPr>
            <w:tcW w:w="1276" w:type="dxa"/>
          </w:tcPr>
          <w:p w:rsidR="00EE39E6" w:rsidRDefault="00EE39E6" w:rsidP="00EE39E6">
            <w:pPr>
              <w:jc w:val="center"/>
            </w:pPr>
          </w:p>
          <w:p w:rsidR="00EE39E6" w:rsidRDefault="00900FE4" w:rsidP="00EE39E6">
            <w:pPr>
              <w:jc w:val="center"/>
            </w:pPr>
            <w:r>
              <w:t>13</w:t>
            </w:r>
          </w:p>
        </w:tc>
        <w:tc>
          <w:tcPr>
            <w:tcW w:w="1389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+</w:t>
            </w:r>
          </w:p>
        </w:tc>
        <w:tc>
          <w:tcPr>
            <w:tcW w:w="2376" w:type="dxa"/>
          </w:tcPr>
          <w:p w:rsidR="00EE39E6" w:rsidRDefault="00900FE4" w:rsidP="00EE39E6">
            <w:r>
              <w:t>Исходя из фактически открывших деятельность субъектов МСП целевой индикатор выполнен на 5 единиц больше</w:t>
            </w:r>
            <w:r w:rsidR="005B26C7">
              <w:t xml:space="preserve"> и составила 162,5%</w:t>
            </w:r>
          </w:p>
        </w:tc>
      </w:tr>
      <w:tr w:rsidR="00EE39E6" w:rsidTr="004A4D3A">
        <w:tc>
          <w:tcPr>
            <w:tcW w:w="426" w:type="dxa"/>
          </w:tcPr>
          <w:p w:rsidR="00EE39E6" w:rsidRDefault="00484B39" w:rsidP="00EE39E6">
            <w:pPr>
              <w:jc w:val="center"/>
            </w:pPr>
            <w:r>
              <w:t>5</w:t>
            </w:r>
          </w:p>
        </w:tc>
        <w:tc>
          <w:tcPr>
            <w:tcW w:w="3084" w:type="dxa"/>
          </w:tcPr>
          <w:p w:rsidR="00EE39E6" w:rsidRDefault="00EE39E6" w:rsidP="00EE39E6">
            <w:r>
              <w:t>Бюджетные поступления в виде налогов и сборов от предпринимательской деятельности</w:t>
            </w:r>
            <w:r w:rsidR="00484B39">
              <w:t>, млн. руб</w:t>
            </w:r>
          </w:p>
        </w:tc>
        <w:tc>
          <w:tcPr>
            <w:tcW w:w="1588" w:type="dxa"/>
          </w:tcPr>
          <w:p w:rsidR="00EE39E6" w:rsidRDefault="00EE39E6" w:rsidP="00EE39E6">
            <w:pPr>
              <w:jc w:val="center"/>
            </w:pPr>
          </w:p>
          <w:p w:rsidR="00EE39E6" w:rsidRDefault="00484B39" w:rsidP="00484B39">
            <w:pPr>
              <w:jc w:val="center"/>
            </w:pPr>
            <w:r>
              <w:t xml:space="preserve"> 12,0</w:t>
            </w:r>
          </w:p>
        </w:tc>
        <w:tc>
          <w:tcPr>
            <w:tcW w:w="1276" w:type="dxa"/>
          </w:tcPr>
          <w:p w:rsidR="00EE39E6" w:rsidRDefault="00EE39E6" w:rsidP="00EE39E6">
            <w:pPr>
              <w:jc w:val="center"/>
            </w:pPr>
          </w:p>
          <w:p w:rsidR="00EE39E6" w:rsidRDefault="005B26C7" w:rsidP="00EE39E6">
            <w:pPr>
              <w:jc w:val="center"/>
            </w:pPr>
            <w:r>
              <w:t>13,1</w:t>
            </w:r>
          </w:p>
        </w:tc>
        <w:tc>
          <w:tcPr>
            <w:tcW w:w="1389" w:type="dxa"/>
          </w:tcPr>
          <w:p w:rsidR="00EE39E6" w:rsidRDefault="00EE39E6" w:rsidP="00EE39E6">
            <w:pPr>
              <w:jc w:val="center"/>
            </w:pPr>
          </w:p>
          <w:p w:rsidR="00EE39E6" w:rsidRDefault="00EE39E6" w:rsidP="00EE39E6">
            <w:pPr>
              <w:jc w:val="center"/>
            </w:pPr>
            <w:r>
              <w:t>+</w:t>
            </w:r>
          </w:p>
        </w:tc>
        <w:tc>
          <w:tcPr>
            <w:tcW w:w="2376" w:type="dxa"/>
            <w:vAlign w:val="center"/>
          </w:tcPr>
          <w:p w:rsidR="00EE39E6" w:rsidRDefault="00EE39E6" w:rsidP="00EE39E6">
            <w:r>
              <w:t>Целе</w:t>
            </w:r>
            <w:r w:rsidR="005B26C7">
              <w:t>вой показатель выполнен на 109,2</w:t>
            </w:r>
            <w:r>
              <w:t>%</w:t>
            </w:r>
          </w:p>
        </w:tc>
      </w:tr>
    </w:tbl>
    <w:p w:rsidR="00077813" w:rsidRDefault="00077813" w:rsidP="00077813">
      <w:pPr>
        <w:jc w:val="center"/>
      </w:pPr>
    </w:p>
    <w:p w:rsidR="00B15B6A" w:rsidRDefault="00B15B6A" w:rsidP="00D465E6">
      <w:pPr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постановления Администрации Пий-Хемского кожууна от 10 ноября 2022 года № 1207 «О внесении изменений в муниципальную программу «Создание благоприятных условий для устойчивого экономического развития в Пий-Хемском </w:t>
      </w:r>
      <w:r>
        <w:rPr>
          <w:sz w:val="26"/>
          <w:szCs w:val="26"/>
        </w:rPr>
        <w:lastRenderedPageBreak/>
        <w:t xml:space="preserve">кожууне на 2021-2023 гг.» в 2022 году объем финансирования программы составила 380 тыс. рублей, в том числе по источникам финансирования: средства муниципального бюджета 200,0 тыс. руб, внебюджетных средств – 180 т.р. </w:t>
      </w:r>
    </w:p>
    <w:p w:rsidR="005B74C6" w:rsidRDefault="00B15B6A" w:rsidP="00D465E6">
      <w:pPr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разрезе мероприятий освоение средств направлено</w:t>
      </w:r>
      <w:r w:rsidR="005B74C6">
        <w:rPr>
          <w:sz w:val="26"/>
          <w:szCs w:val="26"/>
        </w:rPr>
        <w:t>:</w:t>
      </w:r>
    </w:p>
    <w:p w:rsidR="00B15B6A" w:rsidRDefault="005B74C6" w:rsidP="0016567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</w:t>
      </w:r>
      <w:r w:rsidR="00B15B6A">
        <w:rPr>
          <w:sz w:val="26"/>
          <w:szCs w:val="26"/>
        </w:rPr>
        <w:t xml:space="preserve">а поддержку субъектов МСП, осуществляющего социальные услуги населению, т.е. 70 т.р. представлены </w:t>
      </w:r>
      <w:r w:rsidR="003E1D5C">
        <w:rPr>
          <w:sz w:val="26"/>
          <w:szCs w:val="26"/>
        </w:rPr>
        <w:t xml:space="preserve">в заявительном порядке </w:t>
      </w:r>
      <w:r w:rsidR="003214BC">
        <w:rPr>
          <w:sz w:val="26"/>
          <w:szCs w:val="26"/>
        </w:rPr>
        <w:t>одному ИП</w:t>
      </w:r>
      <w:r w:rsidR="00B15B6A">
        <w:rPr>
          <w:sz w:val="26"/>
          <w:szCs w:val="26"/>
        </w:rPr>
        <w:t xml:space="preserve"> для приобретения твердого топлива частному садику, из своих средств ИП вложил 30 т.р.</w:t>
      </w:r>
      <w:r w:rsidR="003E1D5C">
        <w:rPr>
          <w:sz w:val="26"/>
          <w:szCs w:val="26"/>
        </w:rPr>
        <w:t xml:space="preserve"> Экономическим эффектом данного вложения по условиям соглашения должен был быть открытие дополнительного 1 рабочего места в данный частный садик. Вновь принятый рабочий отработал всего 2 месяца, в бюджет выплачено всего </w:t>
      </w:r>
      <w:r>
        <w:rPr>
          <w:sz w:val="26"/>
          <w:szCs w:val="26"/>
        </w:rPr>
        <w:t>17280 рублей, т.к.</w:t>
      </w:r>
      <w:r w:rsidR="003E1D5C">
        <w:rPr>
          <w:sz w:val="26"/>
          <w:szCs w:val="26"/>
        </w:rPr>
        <w:t xml:space="preserve"> по независящим от владельца заведения в конце года садик был вынужден временно закрыться. </w:t>
      </w:r>
    </w:p>
    <w:p w:rsidR="003E1D5C" w:rsidRDefault="005B74C6" w:rsidP="0016567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E1D5C">
        <w:rPr>
          <w:sz w:val="26"/>
          <w:szCs w:val="26"/>
        </w:rPr>
        <w:t>100 тыс. рублей были перечислены также в заявительном порядке субъекту</w:t>
      </w:r>
      <w:r>
        <w:rPr>
          <w:sz w:val="26"/>
          <w:szCs w:val="26"/>
        </w:rPr>
        <w:t xml:space="preserve"> МСП, осуществляющего деятельность в транспо</w:t>
      </w:r>
      <w:r w:rsidR="003214BC">
        <w:rPr>
          <w:sz w:val="26"/>
          <w:szCs w:val="26"/>
        </w:rPr>
        <w:t xml:space="preserve">ртной сфере, </w:t>
      </w:r>
      <w:r>
        <w:rPr>
          <w:sz w:val="26"/>
          <w:szCs w:val="26"/>
        </w:rPr>
        <w:t>для открытия платной автостоянки. Собственные вложения составили 150 т.р. также по условиям соглашения ИП открывает новое рабочее место, который был выполнен. В 2022 году в бюджет выплачено в виде пенсионных отчислений 25920 рублей. Работник до сих пор работает.</w:t>
      </w:r>
    </w:p>
    <w:p w:rsidR="005B74C6" w:rsidRDefault="005B74C6" w:rsidP="00D465E6">
      <w:pPr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30 тыс. рублей направлены на проведение Дня российского предпринимательства</w:t>
      </w:r>
      <w:r w:rsidR="00117689">
        <w:rPr>
          <w:sz w:val="26"/>
          <w:szCs w:val="26"/>
        </w:rPr>
        <w:t xml:space="preserve">, на чествование субъектов МСП с </w:t>
      </w:r>
      <w:r w:rsidR="0057145C">
        <w:rPr>
          <w:sz w:val="26"/>
          <w:szCs w:val="26"/>
        </w:rPr>
        <w:t>наи</w:t>
      </w:r>
      <w:r w:rsidR="00117689">
        <w:rPr>
          <w:sz w:val="26"/>
          <w:szCs w:val="26"/>
        </w:rPr>
        <w:t xml:space="preserve">лучшими результатами, активных участников выставочных мероприятий и оказывающих спонсорскую помощь в социальных и иных акциях. </w:t>
      </w:r>
      <w:r w:rsidR="00165675">
        <w:rPr>
          <w:sz w:val="26"/>
          <w:szCs w:val="26"/>
        </w:rPr>
        <w:t>Стимулирование и поощрение отличившихся своим трудом также является частью механизма развития экономики.</w:t>
      </w:r>
    </w:p>
    <w:p w:rsidR="004A4D3A" w:rsidRDefault="005A183B" w:rsidP="00D465E6">
      <w:pPr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</w:t>
      </w:r>
      <w:r w:rsidR="004A4D3A">
        <w:rPr>
          <w:sz w:val="26"/>
          <w:szCs w:val="26"/>
        </w:rPr>
        <w:t xml:space="preserve"> </w:t>
      </w:r>
      <w:r>
        <w:rPr>
          <w:sz w:val="26"/>
          <w:szCs w:val="26"/>
        </w:rPr>
        <w:t>достиж</w:t>
      </w:r>
      <w:r w:rsidR="004A4D3A">
        <w:rPr>
          <w:sz w:val="26"/>
          <w:szCs w:val="26"/>
        </w:rPr>
        <w:t>ению целевых показателей</w:t>
      </w:r>
      <w:r>
        <w:rPr>
          <w:sz w:val="26"/>
          <w:szCs w:val="26"/>
        </w:rPr>
        <w:t xml:space="preserve"> </w:t>
      </w:r>
      <w:r w:rsidR="004A4D3A">
        <w:rPr>
          <w:sz w:val="26"/>
          <w:szCs w:val="26"/>
        </w:rPr>
        <w:t>показана в таблице 1:</w:t>
      </w:r>
    </w:p>
    <w:p w:rsidR="00B15B6A" w:rsidRPr="005A183B" w:rsidRDefault="004A4D3A" w:rsidP="005A183B">
      <w:pPr>
        <w:pStyle w:val="aa"/>
        <w:numPr>
          <w:ilvl w:val="0"/>
          <w:numId w:val="3"/>
        </w:numPr>
        <w:spacing w:after="240" w:line="276" w:lineRule="auto"/>
        <w:jc w:val="both"/>
        <w:rPr>
          <w:sz w:val="26"/>
          <w:szCs w:val="26"/>
        </w:rPr>
      </w:pPr>
      <w:r w:rsidRPr="005A183B">
        <w:rPr>
          <w:sz w:val="26"/>
          <w:szCs w:val="26"/>
        </w:rPr>
        <w:t>Увеличение доли среднесписочной численности работников субъектов МСП к общей численности работников крупных и средних организаций</w:t>
      </w:r>
      <w:r w:rsidR="005B26C7">
        <w:rPr>
          <w:sz w:val="26"/>
          <w:szCs w:val="26"/>
        </w:rPr>
        <w:t xml:space="preserve"> составляет </w:t>
      </w:r>
      <w:r w:rsidR="0057145C">
        <w:rPr>
          <w:sz w:val="26"/>
          <w:szCs w:val="26"/>
        </w:rPr>
        <w:t>31,4</w:t>
      </w:r>
      <w:r w:rsidR="00A95421">
        <w:rPr>
          <w:sz w:val="26"/>
          <w:szCs w:val="26"/>
        </w:rPr>
        <w:t>%</w:t>
      </w:r>
      <w:r w:rsidRPr="005A183B">
        <w:rPr>
          <w:sz w:val="26"/>
          <w:szCs w:val="26"/>
        </w:rPr>
        <w:t xml:space="preserve"> </w:t>
      </w:r>
      <w:r w:rsidR="005A183B">
        <w:rPr>
          <w:sz w:val="26"/>
          <w:szCs w:val="26"/>
        </w:rPr>
        <w:t>–</w:t>
      </w:r>
      <w:r w:rsidRPr="005A183B">
        <w:rPr>
          <w:sz w:val="26"/>
          <w:szCs w:val="26"/>
        </w:rPr>
        <w:t xml:space="preserve"> </w:t>
      </w:r>
      <w:r w:rsidR="005A183B">
        <w:rPr>
          <w:sz w:val="26"/>
          <w:szCs w:val="26"/>
        </w:rPr>
        <w:t xml:space="preserve">индикатор достигнут за счет </w:t>
      </w:r>
      <w:r w:rsidR="00A95421">
        <w:rPr>
          <w:sz w:val="26"/>
          <w:szCs w:val="26"/>
        </w:rPr>
        <w:t>увеличения численности наемных работников в сфере МСП. На конец отчетного года среднесписочная</w:t>
      </w:r>
      <w:r w:rsidR="00A95421" w:rsidRPr="005A183B">
        <w:rPr>
          <w:sz w:val="26"/>
          <w:szCs w:val="26"/>
        </w:rPr>
        <w:t xml:space="preserve"> численности работников субъектов МСП</w:t>
      </w:r>
      <w:r w:rsidR="00A95421">
        <w:rPr>
          <w:sz w:val="26"/>
          <w:szCs w:val="26"/>
        </w:rPr>
        <w:t xml:space="preserve"> составляла 201,1 человек против 192 за 2021 год. </w:t>
      </w:r>
      <w:r w:rsidR="00FF6691">
        <w:rPr>
          <w:sz w:val="26"/>
          <w:szCs w:val="26"/>
        </w:rPr>
        <w:t>Общая численность работников крупных и средних организаций по данным Красстата составляла 1517 человек.</w:t>
      </w:r>
    </w:p>
    <w:p w:rsidR="005A183B" w:rsidRPr="00FF6691" w:rsidRDefault="005A183B" w:rsidP="005A183B">
      <w:pPr>
        <w:pStyle w:val="aa"/>
        <w:numPr>
          <w:ilvl w:val="0"/>
          <w:numId w:val="3"/>
        </w:numPr>
        <w:spacing w:after="240" w:line="276" w:lineRule="auto"/>
        <w:jc w:val="both"/>
        <w:rPr>
          <w:sz w:val="26"/>
          <w:szCs w:val="26"/>
        </w:rPr>
      </w:pPr>
      <w:r w:rsidRPr="00FF6691">
        <w:rPr>
          <w:sz w:val="26"/>
          <w:szCs w:val="26"/>
        </w:rPr>
        <w:t>Увеличение объемов промышленн</w:t>
      </w:r>
      <w:r w:rsidR="00FF6691">
        <w:rPr>
          <w:sz w:val="26"/>
          <w:szCs w:val="26"/>
        </w:rPr>
        <w:t>ого производства</w:t>
      </w:r>
      <w:r w:rsidRPr="00FF6691">
        <w:rPr>
          <w:sz w:val="26"/>
          <w:szCs w:val="26"/>
        </w:rPr>
        <w:t xml:space="preserve"> к предыдущему году</w:t>
      </w:r>
      <w:r w:rsidR="0057145C">
        <w:rPr>
          <w:sz w:val="26"/>
          <w:szCs w:val="26"/>
        </w:rPr>
        <w:t xml:space="preserve"> составляет 4,4</w:t>
      </w:r>
      <w:r w:rsidR="00FF6691">
        <w:rPr>
          <w:sz w:val="26"/>
          <w:szCs w:val="26"/>
        </w:rPr>
        <w:t xml:space="preserve">% - </w:t>
      </w:r>
      <w:r w:rsidR="0057145C">
        <w:rPr>
          <w:sz w:val="26"/>
          <w:szCs w:val="26"/>
        </w:rPr>
        <w:t>в денежном выражении</w:t>
      </w:r>
      <w:r w:rsidR="00FF6691">
        <w:rPr>
          <w:sz w:val="26"/>
          <w:szCs w:val="26"/>
        </w:rPr>
        <w:t xml:space="preserve"> объем производства промышленной продукции составило 141,6 млн. рублей, что больше уровня 2021 года</w:t>
      </w:r>
      <w:r w:rsidR="0057145C">
        <w:rPr>
          <w:sz w:val="26"/>
          <w:szCs w:val="26"/>
        </w:rPr>
        <w:t xml:space="preserve"> на 6,6 млн рублей за счет вновь открывшихся цехов переработки промышленной продукции</w:t>
      </w:r>
      <w:r w:rsidR="00FF6691">
        <w:rPr>
          <w:sz w:val="26"/>
          <w:szCs w:val="26"/>
        </w:rPr>
        <w:t xml:space="preserve">, но ниже </w:t>
      </w:r>
      <w:r w:rsidR="0057145C">
        <w:rPr>
          <w:sz w:val="26"/>
          <w:szCs w:val="26"/>
        </w:rPr>
        <w:t xml:space="preserve">намеченного </w:t>
      </w:r>
      <w:r w:rsidR="00FF6691">
        <w:rPr>
          <w:sz w:val="26"/>
          <w:szCs w:val="26"/>
        </w:rPr>
        <w:t>це</w:t>
      </w:r>
      <w:r w:rsidR="0057145C">
        <w:rPr>
          <w:sz w:val="26"/>
          <w:szCs w:val="26"/>
        </w:rPr>
        <w:t>левого индикатора на 0,5 пункта</w:t>
      </w:r>
      <w:r w:rsidR="00FF6691">
        <w:rPr>
          <w:sz w:val="26"/>
          <w:szCs w:val="26"/>
        </w:rPr>
        <w:t>.</w:t>
      </w:r>
      <w:r w:rsidR="007528CD">
        <w:rPr>
          <w:sz w:val="26"/>
          <w:szCs w:val="26"/>
        </w:rPr>
        <w:t xml:space="preserve"> </w:t>
      </w:r>
    </w:p>
    <w:p w:rsidR="005A183B" w:rsidRPr="00FF6691" w:rsidRDefault="005A183B" w:rsidP="005A183B">
      <w:pPr>
        <w:pStyle w:val="aa"/>
        <w:numPr>
          <w:ilvl w:val="0"/>
          <w:numId w:val="3"/>
        </w:numPr>
        <w:spacing w:after="240" w:line="276" w:lineRule="auto"/>
        <w:jc w:val="both"/>
        <w:rPr>
          <w:sz w:val="26"/>
          <w:szCs w:val="26"/>
        </w:rPr>
      </w:pPr>
      <w:r w:rsidRPr="00FF6691">
        <w:rPr>
          <w:sz w:val="26"/>
          <w:szCs w:val="26"/>
        </w:rPr>
        <w:t>Увеличение количества вновь за</w:t>
      </w:r>
      <w:r w:rsidR="0057145C">
        <w:rPr>
          <w:sz w:val="26"/>
          <w:szCs w:val="26"/>
        </w:rPr>
        <w:t xml:space="preserve">регистрированных субъектов МСП составляет 13 </w:t>
      </w:r>
      <w:r w:rsidR="007528CD">
        <w:rPr>
          <w:sz w:val="26"/>
          <w:szCs w:val="26"/>
        </w:rPr>
        <w:t xml:space="preserve">единиц – за </w:t>
      </w:r>
      <w:r w:rsidR="00F13DB2">
        <w:rPr>
          <w:sz w:val="26"/>
          <w:szCs w:val="26"/>
        </w:rPr>
        <w:t>2022 год вновь зарегистрированы</w:t>
      </w:r>
      <w:r w:rsidR="007528CD">
        <w:rPr>
          <w:sz w:val="26"/>
          <w:szCs w:val="26"/>
        </w:rPr>
        <w:t xml:space="preserve"> </w:t>
      </w:r>
      <w:r w:rsidR="0057145C">
        <w:rPr>
          <w:sz w:val="26"/>
          <w:szCs w:val="26"/>
        </w:rPr>
        <w:t>45 субъектов МСП, из них</w:t>
      </w:r>
      <w:r w:rsidR="00F13DB2">
        <w:rPr>
          <w:sz w:val="26"/>
          <w:szCs w:val="26"/>
        </w:rPr>
        <w:t xml:space="preserve"> </w:t>
      </w:r>
      <w:r w:rsidR="0057145C">
        <w:rPr>
          <w:sz w:val="26"/>
          <w:szCs w:val="26"/>
        </w:rPr>
        <w:t xml:space="preserve">фактически на </w:t>
      </w:r>
      <w:r w:rsidR="00F13DB2">
        <w:rPr>
          <w:sz w:val="26"/>
          <w:szCs w:val="26"/>
        </w:rPr>
        <w:t xml:space="preserve">территории </w:t>
      </w:r>
      <w:r w:rsidR="00900FE4">
        <w:rPr>
          <w:sz w:val="26"/>
          <w:szCs w:val="26"/>
        </w:rPr>
        <w:t xml:space="preserve">кожууна </w:t>
      </w:r>
      <w:r w:rsidR="00F13DB2">
        <w:rPr>
          <w:sz w:val="26"/>
          <w:szCs w:val="26"/>
        </w:rPr>
        <w:t xml:space="preserve">деятельность </w:t>
      </w:r>
      <w:r w:rsidR="0057145C">
        <w:rPr>
          <w:sz w:val="26"/>
          <w:szCs w:val="26"/>
        </w:rPr>
        <w:t>к концу года</w:t>
      </w:r>
      <w:r w:rsidR="00F13DB2">
        <w:rPr>
          <w:sz w:val="26"/>
          <w:szCs w:val="26"/>
        </w:rPr>
        <w:t xml:space="preserve"> открыли 13 предпринимателей (5 глав КФХ, </w:t>
      </w:r>
      <w:r w:rsidR="00900FE4">
        <w:rPr>
          <w:sz w:val="26"/>
          <w:szCs w:val="26"/>
        </w:rPr>
        <w:t xml:space="preserve">4 торговых точек, 2 такси, 2 прочая деятельность). Показатель исполнен на 162,5%. </w:t>
      </w:r>
    </w:p>
    <w:p w:rsidR="00B15B6A" w:rsidRPr="00FF6691" w:rsidRDefault="005B26C7" w:rsidP="005A183B">
      <w:pPr>
        <w:pStyle w:val="aa"/>
        <w:numPr>
          <w:ilvl w:val="0"/>
          <w:numId w:val="3"/>
        </w:numPr>
        <w:spacing w:after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Целевой индикатор «Б</w:t>
      </w:r>
      <w:r w:rsidR="005A183B" w:rsidRPr="00FF6691">
        <w:rPr>
          <w:sz w:val="26"/>
          <w:szCs w:val="26"/>
        </w:rPr>
        <w:t>юджетные поступления в виде налогов и сборов от предпринимательской деятельности</w:t>
      </w:r>
      <w:r>
        <w:rPr>
          <w:sz w:val="26"/>
          <w:szCs w:val="26"/>
        </w:rPr>
        <w:t>» - за 2022 год</w:t>
      </w:r>
      <w:r w:rsidR="0054493B">
        <w:rPr>
          <w:sz w:val="26"/>
          <w:szCs w:val="26"/>
        </w:rPr>
        <w:t xml:space="preserve"> налог на совокупный дохо</w:t>
      </w:r>
      <w:r>
        <w:rPr>
          <w:sz w:val="26"/>
          <w:szCs w:val="26"/>
        </w:rPr>
        <w:t>д в консолидированный бюджет составил 13,1</w:t>
      </w:r>
      <w:r w:rsidR="0054493B">
        <w:rPr>
          <w:sz w:val="26"/>
          <w:szCs w:val="26"/>
        </w:rPr>
        <w:t xml:space="preserve"> млн.</w:t>
      </w:r>
      <w:r>
        <w:rPr>
          <w:sz w:val="26"/>
          <w:szCs w:val="26"/>
        </w:rPr>
        <w:t xml:space="preserve"> рублей. </w:t>
      </w:r>
      <w:r w:rsidR="0054493B">
        <w:rPr>
          <w:sz w:val="26"/>
          <w:szCs w:val="26"/>
        </w:rPr>
        <w:t xml:space="preserve"> </w:t>
      </w:r>
    </w:p>
    <w:p w:rsidR="006F598B" w:rsidRPr="00B86C08" w:rsidRDefault="006C0BBC" w:rsidP="00D465E6">
      <w:pPr>
        <w:spacing w:after="240" w:line="276" w:lineRule="auto"/>
        <w:ind w:firstLine="709"/>
        <w:jc w:val="both"/>
        <w:rPr>
          <w:sz w:val="26"/>
          <w:szCs w:val="26"/>
        </w:rPr>
      </w:pPr>
      <w:r w:rsidRPr="00B86C08">
        <w:rPr>
          <w:sz w:val="26"/>
          <w:szCs w:val="26"/>
        </w:rPr>
        <w:t xml:space="preserve">По методике расчета эффективности, </w:t>
      </w:r>
      <w:r w:rsidR="00A4606D" w:rsidRPr="00B86C08">
        <w:rPr>
          <w:sz w:val="26"/>
          <w:szCs w:val="26"/>
        </w:rPr>
        <w:t xml:space="preserve">суммарное </w:t>
      </w:r>
      <w:r w:rsidRPr="00B86C08">
        <w:rPr>
          <w:sz w:val="26"/>
          <w:szCs w:val="26"/>
        </w:rPr>
        <w:t>выполнение целевых индикаторов составляет</w:t>
      </w:r>
      <w:r w:rsidR="005B26C7">
        <w:rPr>
          <w:sz w:val="26"/>
          <w:szCs w:val="26"/>
        </w:rPr>
        <w:t xml:space="preserve"> 122,2</w:t>
      </w:r>
      <w:r w:rsidR="006B6BE6" w:rsidRPr="00B86C08">
        <w:rPr>
          <w:sz w:val="26"/>
          <w:szCs w:val="26"/>
        </w:rPr>
        <w:t xml:space="preserve">%. </w:t>
      </w:r>
      <w:r w:rsidR="009102F1" w:rsidRPr="00B86C08">
        <w:rPr>
          <w:sz w:val="26"/>
          <w:szCs w:val="26"/>
        </w:rPr>
        <w:t>Освоение</w:t>
      </w:r>
      <w:r w:rsidR="0054493B">
        <w:rPr>
          <w:sz w:val="26"/>
          <w:szCs w:val="26"/>
        </w:rPr>
        <w:t xml:space="preserve"> финансовых средств составило 100</w:t>
      </w:r>
      <w:r w:rsidR="009102F1" w:rsidRPr="00B86C08">
        <w:rPr>
          <w:sz w:val="26"/>
          <w:szCs w:val="26"/>
        </w:rPr>
        <w:t xml:space="preserve">%. </w:t>
      </w:r>
    </w:p>
    <w:p w:rsidR="006B6BE6" w:rsidRPr="00B86C08" w:rsidRDefault="009102F1" w:rsidP="00940190">
      <w:pPr>
        <w:spacing w:after="240" w:line="276" w:lineRule="auto"/>
        <w:ind w:firstLine="709"/>
        <w:jc w:val="both"/>
        <w:rPr>
          <w:sz w:val="26"/>
          <w:szCs w:val="26"/>
        </w:rPr>
      </w:pPr>
      <w:r w:rsidRPr="00165675">
        <w:rPr>
          <w:i/>
          <w:sz w:val="26"/>
          <w:szCs w:val="26"/>
        </w:rPr>
        <w:t>Вывод</w:t>
      </w:r>
      <w:r w:rsidRPr="00B86C08">
        <w:rPr>
          <w:sz w:val="26"/>
          <w:szCs w:val="26"/>
        </w:rPr>
        <w:t>: муниципальная целевая программа</w:t>
      </w:r>
      <w:r w:rsidR="00957E81" w:rsidRPr="00B86C08">
        <w:rPr>
          <w:sz w:val="26"/>
          <w:szCs w:val="26"/>
        </w:rPr>
        <w:t xml:space="preserve"> «Создание</w:t>
      </w:r>
      <w:r w:rsidR="000F5A60" w:rsidRPr="00B86C08">
        <w:rPr>
          <w:sz w:val="26"/>
          <w:szCs w:val="26"/>
        </w:rPr>
        <w:t xml:space="preserve"> </w:t>
      </w:r>
      <w:r w:rsidR="00957E81" w:rsidRPr="00B86C08">
        <w:rPr>
          <w:sz w:val="26"/>
          <w:szCs w:val="26"/>
        </w:rPr>
        <w:t>благоприятных условий для усто</w:t>
      </w:r>
      <w:r w:rsidR="00117638" w:rsidRPr="00B86C08">
        <w:rPr>
          <w:sz w:val="26"/>
          <w:szCs w:val="26"/>
        </w:rPr>
        <w:t>йчивого экономического развития</w:t>
      </w:r>
      <w:r w:rsidR="000F5A60" w:rsidRPr="00B86C08">
        <w:rPr>
          <w:sz w:val="26"/>
          <w:szCs w:val="26"/>
        </w:rPr>
        <w:t xml:space="preserve"> </w:t>
      </w:r>
      <w:r w:rsidRPr="00B86C08">
        <w:rPr>
          <w:sz w:val="26"/>
          <w:szCs w:val="26"/>
        </w:rPr>
        <w:t>в Пий-Хемском кожууне на 2021-2023</w:t>
      </w:r>
      <w:r w:rsidR="00957E81" w:rsidRPr="00B86C08">
        <w:rPr>
          <w:sz w:val="26"/>
          <w:szCs w:val="26"/>
        </w:rPr>
        <w:t xml:space="preserve">гг.» </w:t>
      </w:r>
      <w:r w:rsidR="00165675">
        <w:rPr>
          <w:sz w:val="26"/>
          <w:szCs w:val="26"/>
        </w:rPr>
        <w:t>в</w:t>
      </w:r>
      <w:r w:rsidR="0054493B">
        <w:rPr>
          <w:sz w:val="26"/>
          <w:szCs w:val="26"/>
        </w:rPr>
        <w:t xml:space="preserve"> 2022</w:t>
      </w:r>
      <w:r w:rsidR="000F5A60" w:rsidRPr="00B86C08">
        <w:rPr>
          <w:sz w:val="26"/>
          <w:szCs w:val="26"/>
        </w:rPr>
        <w:t xml:space="preserve"> год</w:t>
      </w:r>
      <w:r w:rsidR="00165675">
        <w:rPr>
          <w:sz w:val="26"/>
          <w:szCs w:val="26"/>
        </w:rPr>
        <w:t>у</w:t>
      </w:r>
      <w:r w:rsidRPr="00B86C08">
        <w:rPr>
          <w:sz w:val="26"/>
          <w:szCs w:val="26"/>
        </w:rPr>
        <w:t xml:space="preserve"> </w:t>
      </w:r>
      <w:r w:rsidR="000F5A60" w:rsidRPr="00B86C08">
        <w:rPr>
          <w:sz w:val="26"/>
          <w:szCs w:val="26"/>
        </w:rPr>
        <w:t>реализована</w:t>
      </w:r>
      <w:r w:rsidR="006B6BE6" w:rsidRPr="00B86C08">
        <w:rPr>
          <w:sz w:val="26"/>
          <w:szCs w:val="26"/>
        </w:rPr>
        <w:t xml:space="preserve"> </w:t>
      </w:r>
      <w:r w:rsidR="00AF09C0">
        <w:rPr>
          <w:sz w:val="26"/>
          <w:szCs w:val="26"/>
        </w:rPr>
        <w:t xml:space="preserve">с высокой </w:t>
      </w:r>
      <w:r w:rsidR="006B6BE6" w:rsidRPr="00B86C08">
        <w:rPr>
          <w:sz w:val="26"/>
          <w:szCs w:val="26"/>
        </w:rPr>
        <w:t>эффективно</w:t>
      </w:r>
      <w:r w:rsidR="00AF09C0">
        <w:rPr>
          <w:sz w:val="26"/>
          <w:szCs w:val="26"/>
        </w:rPr>
        <w:t>стью</w:t>
      </w:r>
      <w:r w:rsidR="006B6BE6" w:rsidRPr="00B86C08">
        <w:rPr>
          <w:sz w:val="26"/>
          <w:szCs w:val="26"/>
        </w:rPr>
        <w:t>.</w:t>
      </w:r>
    </w:p>
    <w:p w:rsidR="00D465E6" w:rsidRDefault="0054493B" w:rsidP="0054493B">
      <w:pPr>
        <w:spacing w:line="276" w:lineRule="auto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54493B">
        <w:rPr>
          <w:sz w:val="26"/>
          <w:szCs w:val="26"/>
        </w:rPr>
        <w:t xml:space="preserve">На 2023 год, с учетом </w:t>
      </w:r>
      <w:r>
        <w:rPr>
          <w:sz w:val="26"/>
          <w:szCs w:val="26"/>
        </w:rPr>
        <w:t xml:space="preserve">отсутствия проведения конкурсов на получения гранта председателя администрации запланировано проведение конкурса на оказание финансовой помощи субъектам МСП, открывающих </w:t>
      </w:r>
      <w:r w:rsidR="00940190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новые точки промышленного производства в размере </w:t>
      </w:r>
      <w:r w:rsidR="00940190">
        <w:rPr>
          <w:sz w:val="26"/>
          <w:szCs w:val="26"/>
        </w:rPr>
        <w:t xml:space="preserve">350 т.р. в общей сложности, в результате которых можно получить субсидии из бюджетов других уровней и появится возможность привлечения частных инвестиций. </w:t>
      </w:r>
    </w:p>
    <w:p w:rsidR="0054493B" w:rsidRPr="0054493B" w:rsidRDefault="0054493B" w:rsidP="00986E34">
      <w:pPr>
        <w:spacing w:line="360" w:lineRule="auto"/>
        <w:rPr>
          <w:sz w:val="26"/>
          <w:szCs w:val="26"/>
        </w:rPr>
      </w:pPr>
    </w:p>
    <w:p w:rsidR="006E64BC" w:rsidRPr="00B86C08" w:rsidRDefault="000F5A60" w:rsidP="00B86C08">
      <w:pPr>
        <w:spacing w:line="276" w:lineRule="auto"/>
      </w:pPr>
      <w:r w:rsidRPr="00B86C08">
        <w:rPr>
          <w:sz w:val="26"/>
          <w:szCs w:val="26"/>
        </w:rPr>
        <w:t xml:space="preserve"> </w:t>
      </w:r>
      <w:r w:rsidR="00A4606D" w:rsidRPr="00B86C08">
        <w:rPr>
          <w:sz w:val="26"/>
          <w:szCs w:val="26"/>
        </w:rPr>
        <w:t xml:space="preserve">        </w:t>
      </w:r>
      <w:r w:rsidR="003214BC">
        <w:t>Отчет составил</w:t>
      </w:r>
      <w:r w:rsidR="00B87237">
        <w:t xml:space="preserve"> заместитель председателя администрации Пий-Хемского кожууна по экономике</w:t>
      </w:r>
      <w:r w:rsidR="009102F1" w:rsidRPr="00B86C08">
        <w:t xml:space="preserve"> </w:t>
      </w:r>
      <w:r w:rsidR="00A07A62" w:rsidRPr="00B86C08">
        <w:t>Дендип А.В.</w:t>
      </w:r>
      <w:bookmarkStart w:id="0" w:name="_GoBack"/>
      <w:bookmarkEnd w:id="0"/>
      <w:r w:rsidR="00986E34" w:rsidRPr="00B86C08">
        <w:t xml:space="preserve">                          </w:t>
      </w:r>
    </w:p>
    <w:sectPr w:rsidR="006E64BC" w:rsidRPr="00B86C08" w:rsidSect="0054493B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6C9" w:rsidRDefault="00DD16C9" w:rsidP="003A071F">
      <w:r>
        <w:separator/>
      </w:r>
    </w:p>
  </w:endnote>
  <w:endnote w:type="continuationSeparator" w:id="0">
    <w:p w:rsidR="00DD16C9" w:rsidRDefault="00DD16C9" w:rsidP="003A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6C9" w:rsidRDefault="00DD16C9" w:rsidP="003A071F">
      <w:r>
        <w:separator/>
      </w:r>
    </w:p>
  </w:footnote>
  <w:footnote w:type="continuationSeparator" w:id="0">
    <w:p w:rsidR="00DD16C9" w:rsidRDefault="00DD16C9" w:rsidP="003A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02AF1"/>
    <w:multiLevelType w:val="hybridMultilevel"/>
    <w:tmpl w:val="F5067362"/>
    <w:lvl w:ilvl="0" w:tplc="D14E1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9748E8"/>
    <w:multiLevelType w:val="hybridMultilevel"/>
    <w:tmpl w:val="D3F27318"/>
    <w:lvl w:ilvl="0" w:tplc="8B56F1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9E69C0"/>
    <w:multiLevelType w:val="hybridMultilevel"/>
    <w:tmpl w:val="3490BEE0"/>
    <w:lvl w:ilvl="0" w:tplc="E7FAF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C0"/>
    <w:rsid w:val="000057D9"/>
    <w:rsid w:val="00006565"/>
    <w:rsid w:val="000140DC"/>
    <w:rsid w:val="000314E3"/>
    <w:rsid w:val="00032FAB"/>
    <w:rsid w:val="00037C14"/>
    <w:rsid w:val="00051140"/>
    <w:rsid w:val="00060375"/>
    <w:rsid w:val="000702DB"/>
    <w:rsid w:val="000750E5"/>
    <w:rsid w:val="00077813"/>
    <w:rsid w:val="00081006"/>
    <w:rsid w:val="00081256"/>
    <w:rsid w:val="000872DF"/>
    <w:rsid w:val="000D32DF"/>
    <w:rsid w:val="000E3C6F"/>
    <w:rsid w:val="000F5A60"/>
    <w:rsid w:val="00100284"/>
    <w:rsid w:val="001104B9"/>
    <w:rsid w:val="00110A3E"/>
    <w:rsid w:val="0011141A"/>
    <w:rsid w:val="00112872"/>
    <w:rsid w:val="00115CC8"/>
    <w:rsid w:val="001163A4"/>
    <w:rsid w:val="00117638"/>
    <w:rsid w:val="00117689"/>
    <w:rsid w:val="001210E4"/>
    <w:rsid w:val="001615E4"/>
    <w:rsid w:val="00165675"/>
    <w:rsid w:val="00175326"/>
    <w:rsid w:val="00175379"/>
    <w:rsid w:val="00187C96"/>
    <w:rsid w:val="001A30E3"/>
    <w:rsid w:val="001B0BFE"/>
    <w:rsid w:val="001B226E"/>
    <w:rsid w:val="001C6B47"/>
    <w:rsid w:val="001C6C0C"/>
    <w:rsid w:val="001D311A"/>
    <w:rsid w:val="001D443E"/>
    <w:rsid w:val="0020505C"/>
    <w:rsid w:val="00213A84"/>
    <w:rsid w:val="00214093"/>
    <w:rsid w:val="00217BE9"/>
    <w:rsid w:val="00235E66"/>
    <w:rsid w:val="002366F5"/>
    <w:rsid w:val="00236B9F"/>
    <w:rsid w:val="002523A4"/>
    <w:rsid w:val="00252B12"/>
    <w:rsid w:val="002641C9"/>
    <w:rsid w:val="00271F46"/>
    <w:rsid w:val="00291988"/>
    <w:rsid w:val="002A7263"/>
    <w:rsid w:val="002D524A"/>
    <w:rsid w:val="002F182D"/>
    <w:rsid w:val="00302CEE"/>
    <w:rsid w:val="003072A2"/>
    <w:rsid w:val="003214BC"/>
    <w:rsid w:val="00354FF4"/>
    <w:rsid w:val="00364FA8"/>
    <w:rsid w:val="00370544"/>
    <w:rsid w:val="00372648"/>
    <w:rsid w:val="00385834"/>
    <w:rsid w:val="003959E7"/>
    <w:rsid w:val="00395F51"/>
    <w:rsid w:val="00397FBD"/>
    <w:rsid w:val="003A071F"/>
    <w:rsid w:val="003A155F"/>
    <w:rsid w:val="003D4B56"/>
    <w:rsid w:val="003D5C2D"/>
    <w:rsid w:val="003E0186"/>
    <w:rsid w:val="003E065F"/>
    <w:rsid w:val="003E1D5C"/>
    <w:rsid w:val="003E3517"/>
    <w:rsid w:val="003E60F8"/>
    <w:rsid w:val="004072B7"/>
    <w:rsid w:val="00416E70"/>
    <w:rsid w:val="0043269E"/>
    <w:rsid w:val="00444183"/>
    <w:rsid w:val="00454BF4"/>
    <w:rsid w:val="004753AC"/>
    <w:rsid w:val="00475867"/>
    <w:rsid w:val="004804A1"/>
    <w:rsid w:val="0048064C"/>
    <w:rsid w:val="004808C7"/>
    <w:rsid w:val="00484B39"/>
    <w:rsid w:val="004920EB"/>
    <w:rsid w:val="00496E7C"/>
    <w:rsid w:val="004A4D3A"/>
    <w:rsid w:val="004D1DA1"/>
    <w:rsid w:val="004D426E"/>
    <w:rsid w:val="004E4E14"/>
    <w:rsid w:val="004F38B6"/>
    <w:rsid w:val="004F52D2"/>
    <w:rsid w:val="0051004B"/>
    <w:rsid w:val="005135AF"/>
    <w:rsid w:val="0054493B"/>
    <w:rsid w:val="00555E5D"/>
    <w:rsid w:val="005629EF"/>
    <w:rsid w:val="0056355C"/>
    <w:rsid w:val="0057145C"/>
    <w:rsid w:val="0059492B"/>
    <w:rsid w:val="005979C4"/>
    <w:rsid w:val="005A183B"/>
    <w:rsid w:val="005A2F44"/>
    <w:rsid w:val="005A396E"/>
    <w:rsid w:val="005A5EEF"/>
    <w:rsid w:val="005B0CF4"/>
    <w:rsid w:val="005B26C7"/>
    <w:rsid w:val="005B74C6"/>
    <w:rsid w:val="005D457E"/>
    <w:rsid w:val="005D7E78"/>
    <w:rsid w:val="005E3D7E"/>
    <w:rsid w:val="00603089"/>
    <w:rsid w:val="00614699"/>
    <w:rsid w:val="00626FC5"/>
    <w:rsid w:val="006277B0"/>
    <w:rsid w:val="006408F4"/>
    <w:rsid w:val="00666BB3"/>
    <w:rsid w:val="0066724B"/>
    <w:rsid w:val="0067027D"/>
    <w:rsid w:val="006A70D0"/>
    <w:rsid w:val="006B1634"/>
    <w:rsid w:val="006B3049"/>
    <w:rsid w:val="006B37BA"/>
    <w:rsid w:val="006B6BE6"/>
    <w:rsid w:val="006C0BBC"/>
    <w:rsid w:val="006C17AF"/>
    <w:rsid w:val="006C743D"/>
    <w:rsid w:val="006C7AD1"/>
    <w:rsid w:val="006D68FF"/>
    <w:rsid w:val="006E64BC"/>
    <w:rsid w:val="006F10A1"/>
    <w:rsid w:val="006F2276"/>
    <w:rsid w:val="006F3CC3"/>
    <w:rsid w:val="006F598B"/>
    <w:rsid w:val="00726281"/>
    <w:rsid w:val="007475FB"/>
    <w:rsid w:val="007528CD"/>
    <w:rsid w:val="007611E3"/>
    <w:rsid w:val="007841AB"/>
    <w:rsid w:val="00786521"/>
    <w:rsid w:val="007935F5"/>
    <w:rsid w:val="00794BFB"/>
    <w:rsid w:val="007A2CB9"/>
    <w:rsid w:val="007B478F"/>
    <w:rsid w:val="007D7AB8"/>
    <w:rsid w:val="007E77DA"/>
    <w:rsid w:val="007F378E"/>
    <w:rsid w:val="007F6349"/>
    <w:rsid w:val="008106ED"/>
    <w:rsid w:val="00820CB1"/>
    <w:rsid w:val="00824514"/>
    <w:rsid w:val="00841EC5"/>
    <w:rsid w:val="00850C83"/>
    <w:rsid w:val="00870404"/>
    <w:rsid w:val="0087714D"/>
    <w:rsid w:val="00880C85"/>
    <w:rsid w:val="00881113"/>
    <w:rsid w:val="00887E21"/>
    <w:rsid w:val="008A39A0"/>
    <w:rsid w:val="008B1A0D"/>
    <w:rsid w:val="008B4EB5"/>
    <w:rsid w:val="008D08AD"/>
    <w:rsid w:val="008E1B98"/>
    <w:rsid w:val="008E6291"/>
    <w:rsid w:val="008F6A72"/>
    <w:rsid w:val="00900FE4"/>
    <w:rsid w:val="00903662"/>
    <w:rsid w:val="009102F1"/>
    <w:rsid w:val="009124CC"/>
    <w:rsid w:val="00913B6F"/>
    <w:rsid w:val="009167EB"/>
    <w:rsid w:val="00920221"/>
    <w:rsid w:val="00935DA8"/>
    <w:rsid w:val="00940190"/>
    <w:rsid w:val="00941792"/>
    <w:rsid w:val="009506B7"/>
    <w:rsid w:val="00955D78"/>
    <w:rsid w:val="00957E81"/>
    <w:rsid w:val="00986E34"/>
    <w:rsid w:val="00995217"/>
    <w:rsid w:val="009A2496"/>
    <w:rsid w:val="009B3678"/>
    <w:rsid w:val="009C7979"/>
    <w:rsid w:val="009D22F0"/>
    <w:rsid w:val="009D375D"/>
    <w:rsid w:val="009E3D26"/>
    <w:rsid w:val="009E5F71"/>
    <w:rsid w:val="00A05806"/>
    <w:rsid w:val="00A07A62"/>
    <w:rsid w:val="00A20D68"/>
    <w:rsid w:val="00A35A92"/>
    <w:rsid w:val="00A4606D"/>
    <w:rsid w:val="00A53CC2"/>
    <w:rsid w:val="00A604E9"/>
    <w:rsid w:val="00A65A47"/>
    <w:rsid w:val="00A67414"/>
    <w:rsid w:val="00A74303"/>
    <w:rsid w:val="00A8123F"/>
    <w:rsid w:val="00A87F08"/>
    <w:rsid w:val="00A91B5E"/>
    <w:rsid w:val="00A95421"/>
    <w:rsid w:val="00AA4F0D"/>
    <w:rsid w:val="00AE34BB"/>
    <w:rsid w:val="00AF09C0"/>
    <w:rsid w:val="00B0378F"/>
    <w:rsid w:val="00B04C81"/>
    <w:rsid w:val="00B15B6A"/>
    <w:rsid w:val="00B15D34"/>
    <w:rsid w:val="00B223E9"/>
    <w:rsid w:val="00B3210A"/>
    <w:rsid w:val="00B3659D"/>
    <w:rsid w:val="00B435B1"/>
    <w:rsid w:val="00B778E8"/>
    <w:rsid w:val="00B86C08"/>
    <w:rsid w:val="00B87237"/>
    <w:rsid w:val="00B9058D"/>
    <w:rsid w:val="00B976B3"/>
    <w:rsid w:val="00BD5BF3"/>
    <w:rsid w:val="00BE2EE5"/>
    <w:rsid w:val="00C00353"/>
    <w:rsid w:val="00C15A53"/>
    <w:rsid w:val="00C4433B"/>
    <w:rsid w:val="00C5073C"/>
    <w:rsid w:val="00C578C0"/>
    <w:rsid w:val="00CB0D60"/>
    <w:rsid w:val="00CE068B"/>
    <w:rsid w:val="00CE70E5"/>
    <w:rsid w:val="00D007CE"/>
    <w:rsid w:val="00D0529F"/>
    <w:rsid w:val="00D05EE6"/>
    <w:rsid w:val="00D2350F"/>
    <w:rsid w:val="00D30BA8"/>
    <w:rsid w:val="00D32179"/>
    <w:rsid w:val="00D34C95"/>
    <w:rsid w:val="00D42497"/>
    <w:rsid w:val="00D465E6"/>
    <w:rsid w:val="00D5447C"/>
    <w:rsid w:val="00D57963"/>
    <w:rsid w:val="00D63CE5"/>
    <w:rsid w:val="00D6452A"/>
    <w:rsid w:val="00D7113E"/>
    <w:rsid w:val="00D71863"/>
    <w:rsid w:val="00DA50EA"/>
    <w:rsid w:val="00DA5FC2"/>
    <w:rsid w:val="00DA6480"/>
    <w:rsid w:val="00DB3123"/>
    <w:rsid w:val="00DB3FB8"/>
    <w:rsid w:val="00DC59EC"/>
    <w:rsid w:val="00DD1030"/>
    <w:rsid w:val="00DD16C9"/>
    <w:rsid w:val="00DF65DF"/>
    <w:rsid w:val="00E13F0D"/>
    <w:rsid w:val="00E15CB4"/>
    <w:rsid w:val="00E2087F"/>
    <w:rsid w:val="00E21AF3"/>
    <w:rsid w:val="00E22C12"/>
    <w:rsid w:val="00E25707"/>
    <w:rsid w:val="00E3783D"/>
    <w:rsid w:val="00E91CEE"/>
    <w:rsid w:val="00EB5FC5"/>
    <w:rsid w:val="00EC20C7"/>
    <w:rsid w:val="00EC2910"/>
    <w:rsid w:val="00EC3C51"/>
    <w:rsid w:val="00EE39E6"/>
    <w:rsid w:val="00EE4E3B"/>
    <w:rsid w:val="00EE7D88"/>
    <w:rsid w:val="00F13DB2"/>
    <w:rsid w:val="00F16CFE"/>
    <w:rsid w:val="00F4220C"/>
    <w:rsid w:val="00F464D1"/>
    <w:rsid w:val="00F50588"/>
    <w:rsid w:val="00FA2440"/>
    <w:rsid w:val="00FC2666"/>
    <w:rsid w:val="00FC3CB3"/>
    <w:rsid w:val="00FD1020"/>
    <w:rsid w:val="00FD4B98"/>
    <w:rsid w:val="00FE3371"/>
    <w:rsid w:val="00FE6545"/>
    <w:rsid w:val="00FF26F6"/>
    <w:rsid w:val="00FF6691"/>
    <w:rsid w:val="00FF7CF2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5973-537B-46C9-B603-55E77D80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D1030"/>
  </w:style>
  <w:style w:type="paragraph" w:customStyle="1" w:styleId="Style5">
    <w:name w:val="Style5"/>
    <w:basedOn w:val="a"/>
    <w:uiPriority w:val="99"/>
    <w:rsid w:val="0020505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0505C"/>
    <w:pPr>
      <w:widowControl w:val="0"/>
      <w:autoSpaceDE w:val="0"/>
      <w:autoSpaceDN w:val="0"/>
      <w:adjustRightInd w:val="0"/>
      <w:spacing w:line="372" w:lineRule="exact"/>
      <w:ind w:firstLine="653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0505C"/>
    <w:pPr>
      <w:widowControl w:val="0"/>
      <w:autoSpaceDE w:val="0"/>
      <w:autoSpaceDN w:val="0"/>
      <w:adjustRightInd w:val="0"/>
      <w:spacing w:line="374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20505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20505C"/>
    <w:rPr>
      <w:rFonts w:ascii="Cambria" w:hAnsi="Cambria" w:cs="Cambria"/>
      <w:spacing w:val="40"/>
      <w:sz w:val="10"/>
      <w:szCs w:val="10"/>
    </w:rPr>
  </w:style>
  <w:style w:type="character" w:customStyle="1" w:styleId="FontStyle15">
    <w:name w:val="Font Style15"/>
    <w:basedOn w:val="a0"/>
    <w:uiPriority w:val="99"/>
    <w:rsid w:val="0020505C"/>
    <w:rPr>
      <w:rFonts w:ascii="Lucida Sans Unicode" w:hAnsi="Lucida Sans Unicode" w:cs="Lucida Sans Unicode"/>
      <w:spacing w:val="10"/>
      <w:sz w:val="20"/>
      <w:szCs w:val="20"/>
    </w:rPr>
  </w:style>
  <w:style w:type="character" w:customStyle="1" w:styleId="FontStyle16">
    <w:name w:val="Font Style16"/>
    <w:basedOn w:val="a0"/>
    <w:uiPriority w:val="99"/>
    <w:rsid w:val="0020505C"/>
    <w:rPr>
      <w:rFonts w:ascii="Lucida Sans Unicode" w:hAnsi="Lucida Sans Unicode" w:cs="Lucida Sans Unicode"/>
      <w:sz w:val="20"/>
      <w:szCs w:val="20"/>
    </w:rPr>
  </w:style>
  <w:style w:type="character" w:customStyle="1" w:styleId="FontStyle17">
    <w:name w:val="Font Style17"/>
    <w:basedOn w:val="a0"/>
    <w:uiPriority w:val="99"/>
    <w:rsid w:val="0020505C"/>
    <w:rPr>
      <w:rFonts w:ascii="Lucida Sans Unicode" w:hAnsi="Lucida Sans Unicode" w:cs="Lucida Sans Unicode"/>
      <w:sz w:val="12"/>
      <w:szCs w:val="12"/>
    </w:rPr>
  </w:style>
  <w:style w:type="paragraph" w:customStyle="1" w:styleId="Style3">
    <w:name w:val="Style3"/>
    <w:basedOn w:val="a"/>
    <w:uiPriority w:val="99"/>
    <w:rsid w:val="00496E7C"/>
    <w:pPr>
      <w:widowControl w:val="0"/>
      <w:autoSpaceDE w:val="0"/>
      <w:autoSpaceDN w:val="0"/>
      <w:adjustRightInd w:val="0"/>
      <w:spacing w:line="342" w:lineRule="exact"/>
      <w:ind w:firstLine="274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496E7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626FC5"/>
    <w:pPr>
      <w:widowControl w:val="0"/>
      <w:autoSpaceDE w:val="0"/>
      <w:autoSpaceDN w:val="0"/>
      <w:adjustRightInd w:val="0"/>
      <w:spacing w:line="372" w:lineRule="exact"/>
      <w:ind w:firstLine="708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626FC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26FC5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3A07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0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A0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0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986E34"/>
    <w:pPr>
      <w:widowControl w:val="0"/>
      <w:shd w:val="clear" w:color="auto" w:fill="FFFFFF"/>
      <w:spacing w:line="298" w:lineRule="exact"/>
      <w:jc w:val="right"/>
    </w:pPr>
    <w:rPr>
      <w:lang w:bidi="ru-RU"/>
    </w:rPr>
  </w:style>
  <w:style w:type="paragraph" w:styleId="aa">
    <w:name w:val="List Paragraph"/>
    <w:basedOn w:val="a"/>
    <w:uiPriority w:val="34"/>
    <w:qFormat/>
    <w:rsid w:val="00D30BA8"/>
    <w:pPr>
      <w:ind w:left="720"/>
      <w:contextualSpacing/>
    </w:pPr>
  </w:style>
  <w:style w:type="paragraph" w:styleId="ab">
    <w:name w:val="Body Text"/>
    <w:basedOn w:val="a"/>
    <w:link w:val="ac"/>
    <w:rsid w:val="006B6BE6"/>
    <w:pPr>
      <w:widowControl w:val="0"/>
      <w:suppressAutoHyphens/>
      <w:spacing w:after="120" w:line="100" w:lineRule="atLeast"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ac">
    <w:name w:val="Основной текст Знак"/>
    <w:basedOn w:val="a0"/>
    <w:link w:val="ab"/>
    <w:rsid w:val="006B6BE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Econom</cp:lastModifiedBy>
  <cp:revision>6</cp:revision>
  <cp:lastPrinted>2022-04-05T16:45:00Z</cp:lastPrinted>
  <dcterms:created xsi:type="dcterms:W3CDTF">2023-01-16T03:40:00Z</dcterms:created>
  <dcterms:modified xsi:type="dcterms:W3CDTF">2023-07-18T08:16:00Z</dcterms:modified>
</cp:coreProperties>
</file>